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F13" w:rsidRDefault="000B6F13" w:rsidP="00BF29EC">
      <w:pPr>
        <w:widowControl w:val="0"/>
        <w:autoSpaceDE w:val="0"/>
        <w:autoSpaceDN w:val="0"/>
        <w:spacing w:before="100" w:after="0" w:line="240" w:lineRule="auto"/>
        <w:ind w:right="96"/>
        <w:outlineLvl w:val="0"/>
        <w:rPr>
          <w:rFonts w:ascii="Arial" w:eastAsia="Arial" w:hAnsi="Arial" w:cs="Arial"/>
          <w:b/>
          <w:sz w:val="24"/>
          <w:szCs w:val="24"/>
          <w:lang w:eastAsia="pl-PL" w:bidi="pl-PL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lang w:eastAsia="pl-PL" w:bidi="pl-PL"/>
        </w:rPr>
        <w:t>Załącznik Nr 1 do umowy inwestycyjnej</w:t>
      </w:r>
      <w:r w:rsidR="00905305">
        <w:rPr>
          <w:rFonts w:ascii="Arial" w:eastAsia="Arial" w:hAnsi="Arial" w:cs="Arial"/>
          <w:b/>
          <w:sz w:val="24"/>
          <w:szCs w:val="24"/>
          <w:lang w:eastAsia="pl-PL" w:bidi="pl-PL"/>
        </w:rPr>
        <w:t xml:space="preserve"> nr ………………… z dnia ……………</w:t>
      </w:r>
    </w:p>
    <w:p w:rsidR="000B6F13" w:rsidRDefault="000B6F13" w:rsidP="00A76D09">
      <w:pPr>
        <w:widowControl w:val="0"/>
        <w:autoSpaceDE w:val="0"/>
        <w:autoSpaceDN w:val="0"/>
        <w:spacing w:line="240" w:lineRule="auto"/>
        <w:rPr>
          <w:rFonts w:ascii="Arial" w:eastAsia="Arial" w:hAnsi="Arial" w:cs="Arial"/>
          <w:b/>
          <w:sz w:val="24"/>
          <w:szCs w:val="24"/>
          <w:lang w:eastAsia="pl-PL" w:bidi="pl-PL"/>
        </w:rPr>
      </w:pPr>
    </w:p>
    <w:p w:rsidR="000B6F13" w:rsidRDefault="000B6F13" w:rsidP="000B6F1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lang w:eastAsia="pl-PL" w:bidi="pl-PL"/>
        </w:rPr>
      </w:pPr>
      <w:r>
        <w:rPr>
          <w:rFonts w:ascii="Arial" w:eastAsia="Arial" w:hAnsi="Arial" w:cs="Arial"/>
          <w:b/>
          <w:sz w:val="24"/>
          <w:szCs w:val="24"/>
          <w:lang w:eastAsia="pl-PL" w:bidi="pl-PL"/>
        </w:rPr>
        <w:t>Karta Produktu Pożyczka Termomodernizacyjna</w:t>
      </w:r>
    </w:p>
    <w:p w:rsidR="000B6F13" w:rsidRDefault="000B6F13" w:rsidP="000B6F13">
      <w:pPr>
        <w:widowControl w:val="0"/>
        <w:autoSpaceDE w:val="0"/>
        <w:autoSpaceDN w:val="0"/>
        <w:spacing w:after="0" w:line="240" w:lineRule="auto"/>
        <w:ind w:left="2685"/>
        <w:rPr>
          <w:rFonts w:ascii="Arial" w:eastAsia="Arial" w:hAnsi="Arial" w:cs="Arial"/>
          <w:b/>
          <w:lang w:eastAsia="pl-PL" w:bidi="pl-PL"/>
        </w:rPr>
      </w:pPr>
    </w:p>
    <w:p w:rsidR="000B6F13" w:rsidRDefault="000B6F13" w:rsidP="000B6F1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lang w:eastAsia="pl-PL" w:bidi="pl-PL"/>
        </w:rPr>
      </w:pPr>
    </w:p>
    <w:p w:rsidR="000B6F13" w:rsidRDefault="000B6F13" w:rsidP="00AE7A47">
      <w:pPr>
        <w:widowControl w:val="0"/>
        <w:numPr>
          <w:ilvl w:val="0"/>
          <w:numId w:val="1"/>
        </w:numPr>
        <w:tabs>
          <w:tab w:val="left" w:pos="545"/>
        </w:tabs>
        <w:autoSpaceDE w:val="0"/>
        <w:autoSpaceDN w:val="0"/>
        <w:spacing w:after="240" w:line="240" w:lineRule="auto"/>
        <w:ind w:hanging="431"/>
        <w:jc w:val="both"/>
        <w:rPr>
          <w:rFonts w:ascii="Arial" w:eastAsia="Arial" w:hAnsi="Arial" w:cs="Arial"/>
          <w:b/>
          <w:lang w:eastAsia="pl-PL" w:bidi="pl-PL"/>
        </w:rPr>
      </w:pPr>
      <w:r>
        <w:rPr>
          <w:rFonts w:ascii="Arial" w:eastAsia="Arial" w:hAnsi="Arial" w:cs="Arial"/>
          <w:b/>
          <w:lang w:eastAsia="pl-PL" w:bidi="pl-PL"/>
        </w:rPr>
        <w:t>Podstawowe</w:t>
      </w:r>
      <w:r>
        <w:rPr>
          <w:rFonts w:ascii="Arial" w:eastAsia="Arial" w:hAnsi="Arial" w:cs="Arial"/>
          <w:b/>
          <w:spacing w:val="-29"/>
          <w:lang w:eastAsia="pl-PL" w:bidi="pl-PL"/>
        </w:rPr>
        <w:t xml:space="preserve"> </w:t>
      </w:r>
      <w:r>
        <w:rPr>
          <w:rFonts w:ascii="Arial" w:eastAsia="Arial" w:hAnsi="Arial" w:cs="Arial"/>
          <w:b/>
          <w:lang w:eastAsia="pl-PL" w:bidi="pl-PL"/>
        </w:rPr>
        <w:t>parametry</w:t>
      </w:r>
      <w:r>
        <w:rPr>
          <w:rFonts w:ascii="Arial" w:eastAsia="Arial" w:hAnsi="Arial" w:cs="Arial"/>
          <w:b/>
          <w:spacing w:val="-23"/>
          <w:lang w:eastAsia="pl-PL" w:bidi="pl-PL"/>
        </w:rPr>
        <w:t xml:space="preserve"> </w:t>
      </w:r>
      <w:r>
        <w:rPr>
          <w:rFonts w:ascii="Arial" w:eastAsia="Arial" w:hAnsi="Arial" w:cs="Arial"/>
          <w:b/>
          <w:lang w:eastAsia="pl-PL" w:bidi="pl-PL"/>
        </w:rPr>
        <w:t>Pożyczki</w:t>
      </w:r>
      <w:r>
        <w:rPr>
          <w:rFonts w:ascii="Arial" w:eastAsia="Arial" w:hAnsi="Arial" w:cs="Arial"/>
          <w:b/>
          <w:spacing w:val="-24"/>
          <w:lang w:eastAsia="pl-PL" w:bidi="pl-PL"/>
        </w:rPr>
        <w:t xml:space="preserve"> </w:t>
      </w:r>
      <w:r>
        <w:rPr>
          <w:rFonts w:ascii="Arial" w:eastAsia="Arial" w:hAnsi="Arial" w:cs="Arial"/>
          <w:b/>
          <w:lang w:eastAsia="pl-PL" w:bidi="pl-PL"/>
        </w:rPr>
        <w:t>Termomodernizacyjnej</w:t>
      </w:r>
    </w:p>
    <w:p w:rsidR="000B6F13" w:rsidRDefault="000B6F13" w:rsidP="00AE7A47">
      <w:pPr>
        <w:widowControl w:val="0"/>
        <w:numPr>
          <w:ilvl w:val="1"/>
          <w:numId w:val="1"/>
        </w:numPr>
        <w:tabs>
          <w:tab w:val="left" w:pos="545"/>
        </w:tabs>
        <w:autoSpaceDE w:val="0"/>
        <w:autoSpaceDN w:val="0"/>
        <w:spacing w:after="100" w:line="240" w:lineRule="auto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Wartość</w:t>
      </w:r>
      <w:r>
        <w:rPr>
          <w:rFonts w:ascii="Arial" w:eastAsia="Arial" w:hAnsi="Arial" w:cs="Arial"/>
          <w:spacing w:val="-29"/>
          <w:lang w:eastAsia="pl-PL" w:bidi="pl-PL"/>
        </w:rPr>
        <w:t xml:space="preserve"> </w:t>
      </w:r>
      <w:r>
        <w:rPr>
          <w:rFonts w:ascii="Arial" w:eastAsia="Arial" w:hAnsi="Arial" w:cs="Arial"/>
          <w:lang w:eastAsia="pl-PL" w:bidi="pl-PL"/>
        </w:rPr>
        <w:t>Pożyczki</w:t>
      </w:r>
      <w:r>
        <w:rPr>
          <w:rFonts w:ascii="Arial" w:eastAsia="Arial" w:hAnsi="Arial" w:cs="Arial"/>
          <w:spacing w:val="-28"/>
          <w:lang w:eastAsia="pl-PL" w:bidi="pl-PL"/>
        </w:rPr>
        <w:t xml:space="preserve"> </w:t>
      </w:r>
      <w:r>
        <w:rPr>
          <w:rFonts w:ascii="Arial" w:eastAsia="Arial" w:hAnsi="Arial" w:cs="Arial"/>
          <w:lang w:eastAsia="pl-PL" w:bidi="pl-PL"/>
        </w:rPr>
        <w:t>Termomodernizacyjnej</w:t>
      </w:r>
      <w:r>
        <w:rPr>
          <w:rFonts w:ascii="Arial" w:eastAsia="Arial" w:hAnsi="Arial" w:cs="Arial"/>
          <w:spacing w:val="-21"/>
          <w:lang w:eastAsia="pl-PL" w:bidi="pl-PL"/>
        </w:rPr>
        <w:t xml:space="preserve"> </w:t>
      </w:r>
      <w:r>
        <w:rPr>
          <w:rFonts w:ascii="Arial" w:eastAsia="Arial" w:hAnsi="Arial" w:cs="Arial"/>
          <w:lang w:eastAsia="pl-PL" w:bidi="pl-PL"/>
        </w:rPr>
        <w:t>wynosi</w:t>
      </w:r>
      <w:r>
        <w:rPr>
          <w:rFonts w:ascii="Arial" w:eastAsia="Arial" w:hAnsi="Arial" w:cs="Arial"/>
          <w:spacing w:val="-27"/>
          <w:lang w:eastAsia="pl-PL" w:bidi="pl-PL"/>
        </w:rPr>
        <w:t xml:space="preserve">  </w:t>
      </w:r>
      <w:r>
        <w:rPr>
          <w:rFonts w:ascii="Arial" w:eastAsia="Arial" w:hAnsi="Arial" w:cs="Arial"/>
          <w:lang w:eastAsia="pl-PL" w:bidi="pl-PL"/>
        </w:rPr>
        <w:t>do</w:t>
      </w:r>
      <w:r>
        <w:rPr>
          <w:rFonts w:ascii="Arial" w:eastAsia="Arial" w:hAnsi="Arial" w:cs="Arial"/>
          <w:spacing w:val="-26"/>
          <w:lang w:eastAsia="pl-PL" w:bidi="pl-PL"/>
        </w:rPr>
        <w:t xml:space="preserve"> </w:t>
      </w:r>
      <w:r w:rsidR="00DB0FC8">
        <w:rPr>
          <w:rFonts w:ascii="Arial" w:eastAsia="Arial" w:hAnsi="Arial" w:cs="Arial"/>
          <w:lang w:eastAsia="pl-PL" w:bidi="pl-PL"/>
        </w:rPr>
        <w:t>2 500 000</w:t>
      </w:r>
      <w:r>
        <w:rPr>
          <w:rFonts w:ascii="Arial" w:eastAsia="Arial" w:hAnsi="Arial" w:cs="Arial"/>
          <w:lang w:eastAsia="pl-PL" w:bidi="pl-PL"/>
        </w:rPr>
        <w:t>,00</w:t>
      </w:r>
      <w:r>
        <w:rPr>
          <w:rFonts w:ascii="Arial" w:eastAsia="Arial" w:hAnsi="Arial" w:cs="Arial"/>
          <w:spacing w:val="-23"/>
          <w:lang w:eastAsia="pl-PL" w:bidi="pl-PL"/>
        </w:rPr>
        <w:t xml:space="preserve"> </w:t>
      </w:r>
      <w:r>
        <w:rPr>
          <w:rFonts w:ascii="Arial" w:eastAsia="Arial" w:hAnsi="Arial" w:cs="Arial"/>
          <w:lang w:eastAsia="pl-PL" w:bidi="pl-PL"/>
        </w:rPr>
        <w:t>zł.</w:t>
      </w:r>
    </w:p>
    <w:p w:rsidR="000B6F13" w:rsidRDefault="000B6F13" w:rsidP="00AE7A47">
      <w:pPr>
        <w:widowControl w:val="0"/>
        <w:numPr>
          <w:ilvl w:val="1"/>
          <w:numId w:val="1"/>
        </w:numPr>
        <w:tabs>
          <w:tab w:val="left" w:pos="545"/>
        </w:tabs>
        <w:autoSpaceDE w:val="0"/>
        <w:autoSpaceDN w:val="0"/>
        <w:spacing w:after="100" w:line="240" w:lineRule="auto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Ostatecznym Odbiorcą Pożyczki Termomodernizacyjnej mogą być</w:t>
      </w:r>
      <w:r w:rsidR="00E25F5F">
        <w:rPr>
          <w:rFonts w:ascii="Arial" w:eastAsia="Arial" w:hAnsi="Arial" w:cs="Arial"/>
          <w:lang w:eastAsia="pl-PL" w:bidi="pl-PL"/>
        </w:rPr>
        <w:t xml:space="preserve"> </w:t>
      </w:r>
      <w:r w:rsidR="001F0FA9">
        <w:rPr>
          <w:rFonts w:ascii="Arial" w:eastAsia="Arial" w:hAnsi="Arial" w:cs="Arial"/>
          <w:lang w:eastAsia="pl-PL" w:bidi="pl-PL"/>
        </w:rPr>
        <w:t>zarządcy wielorodzinnych budynków mieszkalnych, w tym</w:t>
      </w:r>
      <w:r>
        <w:rPr>
          <w:rFonts w:ascii="Arial" w:eastAsia="Arial" w:hAnsi="Arial" w:cs="Arial"/>
          <w:lang w:eastAsia="pl-PL" w:bidi="pl-PL"/>
        </w:rPr>
        <w:t>: spółdzielnie mieszkaniowe, wspólnoty mieszkaniowe, towarzystwa budownictwa społecznego</w:t>
      </w:r>
    </w:p>
    <w:p w:rsidR="000B6F13" w:rsidRDefault="000B6F13" w:rsidP="00AE7A47">
      <w:pPr>
        <w:widowControl w:val="0"/>
        <w:numPr>
          <w:ilvl w:val="1"/>
          <w:numId w:val="1"/>
        </w:numPr>
        <w:tabs>
          <w:tab w:val="left" w:pos="545"/>
        </w:tabs>
        <w:autoSpaceDE w:val="0"/>
        <w:autoSpaceDN w:val="0"/>
        <w:spacing w:after="100" w:line="240" w:lineRule="auto"/>
        <w:ind w:hanging="431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Ostateczny Odbiorca ubiegający się o Jednostkową Pożyczkę Termomodernizacyjną nie jest zobowiązany jest do wniesienia wkładu własnego wartości inwestycji, co oznacza, że wartość Jednostkowej Pożyczki Termomodernizacyjnej w koszcie realizowanego przedsięwzięcia może stanowić do 100% jego wartości</w:t>
      </w:r>
      <w:r>
        <w:rPr>
          <w:rFonts w:ascii="Arial" w:eastAsia="Arial" w:hAnsi="Arial" w:cs="Arial"/>
          <w:vertAlign w:val="superscript"/>
          <w:lang w:eastAsia="pl-PL" w:bidi="pl-PL"/>
        </w:rPr>
        <w:footnoteReference w:id="1"/>
      </w:r>
      <w:r>
        <w:rPr>
          <w:rFonts w:ascii="Arial" w:eastAsia="Arial" w:hAnsi="Arial" w:cs="Arial"/>
          <w:lang w:eastAsia="pl-PL" w:bidi="pl-PL"/>
        </w:rPr>
        <w:t>.</w:t>
      </w:r>
    </w:p>
    <w:p w:rsidR="000B6F13" w:rsidRDefault="000B6F13" w:rsidP="00AE7A47">
      <w:pPr>
        <w:widowControl w:val="0"/>
        <w:numPr>
          <w:ilvl w:val="1"/>
          <w:numId w:val="1"/>
        </w:numPr>
        <w:tabs>
          <w:tab w:val="left" w:pos="545"/>
        </w:tabs>
        <w:autoSpaceDE w:val="0"/>
        <w:autoSpaceDN w:val="0"/>
        <w:spacing w:after="100" w:line="240" w:lineRule="auto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Maksymalny termin na wypłatę całkowitej kwoty Jednostkowej Pożyczki Termomodernizacyjnej Ostatecznemu Odbiorcy wynosi 180 dni kalendarzowych od dnia zawarcia Umowy Pożyczki Termomodernizacyjnej.</w:t>
      </w:r>
    </w:p>
    <w:p w:rsidR="000B6F13" w:rsidRDefault="000B6F13" w:rsidP="00AE7A47">
      <w:pPr>
        <w:widowControl w:val="0"/>
        <w:numPr>
          <w:ilvl w:val="1"/>
          <w:numId w:val="1"/>
        </w:numPr>
        <w:tabs>
          <w:tab w:val="left" w:pos="545"/>
        </w:tabs>
        <w:autoSpaceDE w:val="0"/>
        <w:autoSpaceDN w:val="0"/>
        <w:spacing w:after="100" w:line="240" w:lineRule="auto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 xml:space="preserve">Maksymalny okres spłaty Pożyczki Termomodernizacyjnej nie może być dłuższy niż </w:t>
      </w:r>
      <w:r w:rsidR="009431DC">
        <w:rPr>
          <w:rFonts w:ascii="Arial" w:eastAsia="Arial" w:hAnsi="Arial" w:cs="Arial"/>
          <w:lang w:eastAsia="pl-PL" w:bidi="pl-PL"/>
        </w:rPr>
        <w:t xml:space="preserve">180 </w:t>
      </w:r>
      <w:r>
        <w:rPr>
          <w:rFonts w:ascii="Arial" w:eastAsia="Arial" w:hAnsi="Arial" w:cs="Arial"/>
          <w:lang w:eastAsia="pl-PL" w:bidi="pl-PL"/>
        </w:rPr>
        <w:t>miesięcy, od momentu jej uruchomienia, tj. wypłaty jakiejkolwiek kwoty Jednostkowej Pożyczki Termomodernizacyjnej.</w:t>
      </w:r>
    </w:p>
    <w:p w:rsidR="000B6F13" w:rsidRDefault="000B6F13" w:rsidP="00AE7A47">
      <w:pPr>
        <w:widowControl w:val="0"/>
        <w:numPr>
          <w:ilvl w:val="1"/>
          <w:numId w:val="1"/>
        </w:numPr>
        <w:tabs>
          <w:tab w:val="left" w:pos="545"/>
        </w:tabs>
        <w:autoSpaceDE w:val="0"/>
        <w:autoSpaceDN w:val="0"/>
        <w:spacing w:after="300" w:line="240" w:lineRule="auto"/>
        <w:ind w:hanging="431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Maksymalna karencja w spłacie kapitału Pożyczki Termomodernizacyjnej wynosi do 12 miesięcy od dnia jej uruchomienia, przy czym karencja nie wydłuża okresu spłaty Pożyczki Termomodernizacyjnej .</w:t>
      </w:r>
    </w:p>
    <w:p w:rsidR="000B6F13" w:rsidRDefault="000B6F13" w:rsidP="00AE7A47">
      <w:pPr>
        <w:widowControl w:val="0"/>
        <w:numPr>
          <w:ilvl w:val="0"/>
          <w:numId w:val="1"/>
        </w:numPr>
        <w:tabs>
          <w:tab w:val="left" w:pos="545"/>
        </w:tabs>
        <w:autoSpaceDE w:val="0"/>
        <w:autoSpaceDN w:val="0"/>
        <w:spacing w:after="240" w:line="240" w:lineRule="auto"/>
        <w:ind w:hanging="431"/>
        <w:jc w:val="both"/>
        <w:rPr>
          <w:rFonts w:ascii="Arial" w:eastAsia="Arial" w:hAnsi="Arial" w:cs="Arial"/>
          <w:b/>
          <w:lang w:eastAsia="pl-PL" w:bidi="pl-PL"/>
        </w:rPr>
      </w:pPr>
      <w:r>
        <w:rPr>
          <w:rFonts w:ascii="Arial" w:eastAsia="Arial" w:hAnsi="Arial" w:cs="Arial"/>
          <w:b/>
          <w:lang w:eastAsia="pl-PL" w:bidi="pl-PL"/>
        </w:rPr>
        <w:t>Zasady dotyczące udzielania i udokumentowania Pożyczki Termomodernizacyjnej</w:t>
      </w:r>
    </w:p>
    <w:p w:rsidR="000B6F13" w:rsidRDefault="000B6F13" w:rsidP="00AE7A47">
      <w:pPr>
        <w:widowControl w:val="0"/>
        <w:numPr>
          <w:ilvl w:val="1"/>
          <w:numId w:val="1"/>
        </w:numPr>
        <w:tabs>
          <w:tab w:val="left" w:pos="545"/>
        </w:tabs>
        <w:autoSpaceDE w:val="0"/>
        <w:autoSpaceDN w:val="0"/>
        <w:spacing w:after="100" w:line="240" w:lineRule="auto"/>
        <w:ind w:hanging="431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 xml:space="preserve">Udzielenie Pożyczki Termomodernizacyjnej nie może być uzależnione od zawarcia przez Ostatecznego Odbiorcę dodatkowych umów (w szczególności dotyczących zakupu dodatkowych usług, produktów finansowych lub ubezpieczeniowych) z </w:t>
      </w:r>
      <w:proofErr w:type="spellStart"/>
      <w:r>
        <w:rPr>
          <w:rFonts w:ascii="Arial" w:eastAsia="Arial" w:hAnsi="Arial" w:cs="Arial"/>
          <w:lang w:eastAsia="pl-PL" w:bidi="pl-PL"/>
        </w:rPr>
        <w:t>WFOŚiGW</w:t>
      </w:r>
      <w:proofErr w:type="spellEnd"/>
      <w:r>
        <w:rPr>
          <w:rFonts w:ascii="Arial" w:eastAsia="Arial" w:hAnsi="Arial" w:cs="Arial"/>
          <w:lang w:eastAsia="pl-PL" w:bidi="pl-PL"/>
        </w:rPr>
        <w:t xml:space="preserve"> w Białymstoku lub podmiotem partnerskim lub powiązanym w stosunku do </w:t>
      </w:r>
      <w:proofErr w:type="spellStart"/>
      <w:r>
        <w:rPr>
          <w:rFonts w:ascii="Arial" w:eastAsia="Arial" w:hAnsi="Arial" w:cs="Arial"/>
          <w:lang w:eastAsia="pl-PL" w:bidi="pl-PL"/>
        </w:rPr>
        <w:t>WFOŚiGW</w:t>
      </w:r>
      <w:proofErr w:type="spellEnd"/>
      <w:r>
        <w:rPr>
          <w:rFonts w:ascii="Arial" w:eastAsia="Arial" w:hAnsi="Arial" w:cs="Arial"/>
          <w:lang w:eastAsia="pl-PL" w:bidi="pl-PL"/>
        </w:rPr>
        <w:t xml:space="preserve"> w Białymstoku; powyższe nie dotyczy powszechnie występujących na rynku oraz standardowo stosowanych przez </w:t>
      </w:r>
      <w:proofErr w:type="spellStart"/>
      <w:r>
        <w:rPr>
          <w:rFonts w:ascii="Arial" w:eastAsia="Arial" w:hAnsi="Arial" w:cs="Arial"/>
          <w:lang w:eastAsia="pl-PL" w:bidi="pl-PL"/>
        </w:rPr>
        <w:t>WFOŚiGW</w:t>
      </w:r>
      <w:proofErr w:type="spellEnd"/>
      <w:r>
        <w:rPr>
          <w:rFonts w:ascii="Arial" w:eastAsia="Arial" w:hAnsi="Arial" w:cs="Arial"/>
          <w:lang w:eastAsia="pl-PL" w:bidi="pl-PL"/>
        </w:rPr>
        <w:t xml:space="preserve"> w Białymstoku zabezpieczeń ustanawianych przez Ostatecznego Odbiorcę na rzecz </w:t>
      </w:r>
      <w:proofErr w:type="spellStart"/>
      <w:r>
        <w:rPr>
          <w:rFonts w:ascii="Arial" w:eastAsia="Arial" w:hAnsi="Arial" w:cs="Arial"/>
          <w:lang w:eastAsia="pl-PL" w:bidi="pl-PL"/>
        </w:rPr>
        <w:t>WFOŚiGW</w:t>
      </w:r>
      <w:proofErr w:type="spellEnd"/>
      <w:r>
        <w:rPr>
          <w:rFonts w:ascii="Arial" w:eastAsia="Arial" w:hAnsi="Arial" w:cs="Arial"/>
          <w:lang w:eastAsia="pl-PL" w:bidi="pl-PL"/>
        </w:rPr>
        <w:t xml:space="preserve"> w Białymstoku  w związku z zawieraną umową Pożyczki na Inwestycje Rozwojowe, z zastrzeżeniem, iż w przypadku zabezpieczenia takiego jak „cesja praw z polisy ubezpieczeniowej” Ostateczny Odbiorca ma możliwość wyboru oferty spośród ubezpieczycieli dostępnych na rynku.</w:t>
      </w:r>
    </w:p>
    <w:p w:rsidR="000B6F13" w:rsidRDefault="000B6F13" w:rsidP="00AE7A47">
      <w:pPr>
        <w:widowControl w:val="0"/>
        <w:numPr>
          <w:ilvl w:val="1"/>
          <w:numId w:val="1"/>
        </w:numPr>
        <w:tabs>
          <w:tab w:val="left" w:pos="838"/>
        </w:tabs>
        <w:autoSpaceDE w:val="0"/>
        <w:autoSpaceDN w:val="0"/>
        <w:spacing w:after="100" w:line="252" w:lineRule="auto"/>
        <w:ind w:right="142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Wydatkowanie środków Jednostkowej Pożyczki Termomodernizacyjnej musi zostać należycie udokumentowane w terminie do 180 dni kalendarzowych od daty jej całkowitej wypłaty Ostatecznemu Odbiorcy. W uzasadnionych przypadkach i na wniosek Ostatecznego Odbiorcy termin ten może uleć wydłużeniu w oparciu o przedstawiony harmonogram prac remontowo- budowlanych maksymalnie o kolejne 180 dni.</w:t>
      </w:r>
    </w:p>
    <w:p w:rsidR="000B6F13" w:rsidRDefault="000B6F13" w:rsidP="00AE7A47">
      <w:pPr>
        <w:widowControl w:val="0"/>
        <w:numPr>
          <w:ilvl w:val="1"/>
          <w:numId w:val="1"/>
        </w:numPr>
        <w:tabs>
          <w:tab w:val="left" w:pos="838"/>
        </w:tabs>
        <w:autoSpaceDE w:val="0"/>
        <w:autoSpaceDN w:val="0"/>
        <w:spacing w:after="240" w:line="252" w:lineRule="auto"/>
        <w:ind w:right="142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Dokumentem potwierdzającym wydatkowanie środków zgodnie z celem, na jaki zostały przyznane jest faktura lub dokument równoważny, w rozumieniu przepisów prawa krajowego.</w:t>
      </w:r>
    </w:p>
    <w:p w:rsidR="000B6F13" w:rsidRDefault="000B6F13" w:rsidP="00AE7A47">
      <w:pPr>
        <w:widowControl w:val="0"/>
        <w:numPr>
          <w:ilvl w:val="0"/>
          <w:numId w:val="1"/>
        </w:numPr>
        <w:tabs>
          <w:tab w:val="left" w:pos="545"/>
        </w:tabs>
        <w:autoSpaceDE w:val="0"/>
        <w:autoSpaceDN w:val="0"/>
        <w:spacing w:after="240" w:line="240" w:lineRule="auto"/>
        <w:ind w:hanging="431"/>
        <w:jc w:val="both"/>
        <w:rPr>
          <w:rFonts w:ascii="Arial" w:eastAsia="Arial" w:hAnsi="Arial" w:cs="Arial"/>
          <w:b/>
          <w:lang w:eastAsia="pl-PL" w:bidi="pl-PL"/>
        </w:rPr>
      </w:pPr>
      <w:r>
        <w:rPr>
          <w:rFonts w:ascii="Arial" w:eastAsia="Arial" w:hAnsi="Arial" w:cs="Arial"/>
          <w:b/>
          <w:lang w:eastAsia="pl-PL" w:bidi="pl-PL"/>
        </w:rPr>
        <w:t>Przeznaczenie finansowania (Cele Inwestycji)</w:t>
      </w:r>
    </w:p>
    <w:p w:rsidR="000B6F13" w:rsidRDefault="000B6F13" w:rsidP="00CA6ABA">
      <w:pPr>
        <w:widowControl w:val="0"/>
        <w:numPr>
          <w:ilvl w:val="1"/>
          <w:numId w:val="1"/>
        </w:numPr>
        <w:tabs>
          <w:tab w:val="left" w:pos="838"/>
        </w:tabs>
        <w:autoSpaceDE w:val="0"/>
        <w:autoSpaceDN w:val="0"/>
        <w:spacing w:after="100" w:line="252" w:lineRule="auto"/>
        <w:ind w:left="839" w:right="125" w:hanging="431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lastRenderedPageBreak/>
        <w:t>Kompleksowa tzn. głęboka modernizacja energetyczna budynków mieszkalnych wielorodzinnych na terenie województwa podlaskiego, w tym:</w:t>
      </w:r>
    </w:p>
    <w:p w:rsidR="000B6F13" w:rsidRDefault="000B6F13" w:rsidP="00AE7A47">
      <w:pPr>
        <w:widowControl w:val="0"/>
        <w:numPr>
          <w:ilvl w:val="2"/>
          <w:numId w:val="1"/>
        </w:numPr>
        <w:tabs>
          <w:tab w:val="left" w:pos="1243"/>
        </w:tabs>
        <w:autoSpaceDE w:val="0"/>
        <w:autoSpaceDN w:val="0"/>
        <w:spacing w:before="100" w:after="100" w:line="240" w:lineRule="auto"/>
        <w:ind w:hanging="357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modernizacja przegród zewnętrznych budynków (izolacja cieplna),</w:t>
      </w:r>
    </w:p>
    <w:p w:rsidR="000B6F13" w:rsidRDefault="000B6F13" w:rsidP="00AE7A47">
      <w:pPr>
        <w:widowControl w:val="0"/>
        <w:numPr>
          <w:ilvl w:val="2"/>
          <w:numId w:val="1"/>
        </w:numPr>
        <w:tabs>
          <w:tab w:val="left" w:pos="1243"/>
        </w:tabs>
        <w:autoSpaceDE w:val="0"/>
        <w:autoSpaceDN w:val="0"/>
        <w:spacing w:before="100" w:after="100" w:line="252" w:lineRule="auto"/>
        <w:ind w:right="159" w:hanging="357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wymiana wyposażenia na energooszczędne m.in. wymiana stolarki okiennej i drzwiowej oraz oświetlenia (w częściach wspólnych budynków),</w:t>
      </w:r>
    </w:p>
    <w:p w:rsidR="000B6F13" w:rsidRDefault="000B6F13" w:rsidP="00AE7A47">
      <w:pPr>
        <w:widowControl w:val="0"/>
        <w:numPr>
          <w:ilvl w:val="2"/>
          <w:numId w:val="1"/>
        </w:numPr>
        <w:tabs>
          <w:tab w:val="left" w:pos="1243"/>
        </w:tabs>
        <w:autoSpaceDE w:val="0"/>
        <w:autoSpaceDN w:val="0"/>
        <w:spacing w:before="100" w:after="100" w:line="252" w:lineRule="auto"/>
        <w:ind w:right="136" w:hanging="357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przebudowa systemów grzewczych wraz z wymianą i podłączeniem do źródła ciepła (z wyłączeniem źródeł ciepła opalanych węglem),</w:t>
      </w:r>
    </w:p>
    <w:p w:rsidR="000B6F13" w:rsidRDefault="000B6F13" w:rsidP="00AE7A47">
      <w:pPr>
        <w:widowControl w:val="0"/>
        <w:numPr>
          <w:ilvl w:val="2"/>
          <w:numId w:val="1"/>
        </w:numPr>
        <w:tabs>
          <w:tab w:val="left" w:pos="1243"/>
        </w:tabs>
        <w:autoSpaceDE w:val="0"/>
        <w:autoSpaceDN w:val="0"/>
        <w:spacing w:before="100" w:after="100" w:line="252" w:lineRule="auto"/>
        <w:ind w:right="839" w:hanging="357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przebudowa systemów wentylacji i klimatyzacji oraz wynikająca z niej potrzeba przebudowy/podłączenia do systemów wodno-kanalizacyjnych,</w:t>
      </w:r>
    </w:p>
    <w:p w:rsidR="000B6F13" w:rsidRDefault="000B6F13" w:rsidP="00AE7A47">
      <w:pPr>
        <w:widowControl w:val="0"/>
        <w:numPr>
          <w:ilvl w:val="2"/>
          <w:numId w:val="1"/>
        </w:numPr>
        <w:tabs>
          <w:tab w:val="left" w:pos="1243"/>
        </w:tabs>
        <w:autoSpaceDE w:val="0"/>
        <w:autoSpaceDN w:val="0"/>
        <w:spacing w:before="100" w:after="100" w:line="240" w:lineRule="auto"/>
        <w:ind w:hanging="357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budowa systemów zarządzania/ sterowania oświetleniem</w:t>
      </w:r>
    </w:p>
    <w:p w:rsidR="000B6F13" w:rsidRDefault="000B6F13" w:rsidP="00CA6ABA">
      <w:pPr>
        <w:widowControl w:val="0"/>
        <w:numPr>
          <w:ilvl w:val="2"/>
          <w:numId w:val="1"/>
        </w:numPr>
        <w:tabs>
          <w:tab w:val="left" w:pos="1243"/>
        </w:tabs>
        <w:autoSpaceDE w:val="0"/>
        <w:autoSpaceDN w:val="0"/>
        <w:spacing w:before="100" w:after="100" w:line="252" w:lineRule="auto"/>
        <w:ind w:right="125" w:hanging="357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budowa instalacji OZE</w:t>
      </w:r>
      <w:r>
        <w:rPr>
          <w:rFonts w:ascii="Arial" w:eastAsia="Arial" w:hAnsi="Arial" w:cs="Arial"/>
          <w:vertAlign w:val="superscript"/>
          <w:lang w:eastAsia="pl-PL" w:bidi="pl-PL"/>
        </w:rPr>
        <w:footnoteReference w:id="2"/>
      </w:r>
      <w:r>
        <w:rPr>
          <w:rFonts w:ascii="Arial" w:eastAsia="Arial" w:hAnsi="Arial" w:cs="Arial"/>
          <w:lang w:eastAsia="pl-PL" w:bidi="pl-PL"/>
        </w:rPr>
        <w:t xml:space="preserve"> lub chłodzących w modernizowanych energetycznie budynkach. Instalacja OZE musi być uzasadniona potrzebami energetycznymi obiektu, a jedynie niewykorzystana część energii eklektycznej może być oddawana do sieci dystrybucyjnej.</w:t>
      </w:r>
    </w:p>
    <w:p w:rsidR="000B6F13" w:rsidRDefault="000B6F13" w:rsidP="00AE7A47">
      <w:pPr>
        <w:widowControl w:val="0"/>
        <w:numPr>
          <w:ilvl w:val="2"/>
          <w:numId w:val="1"/>
        </w:numPr>
        <w:tabs>
          <w:tab w:val="left" w:pos="1243"/>
        </w:tabs>
        <w:autoSpaceDE w:val="0"/>
        <w:autoSpaceDN w:val="0"/>
        <w:spacing w:before="100" w:after="100" w:line="252" w:lineRule="auto"/>
        <w:ind w:right="340" w:hanging="357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przeprowadzenie audytu energetycznego jako elementu przedsięwzięcia inwestycyjnego określonego w pkt. 1-6 powyżej.</w:t>
      </w:r>
    </w:p>
    <w:p w:rsidR="000B6F13" w:rsidRDefault="000B6F13" w:rsidP="00CA6ABA">
      <w:pPr>
        <w:widowControl w:val="0"/>
        <w:numPr>
          <w:ilvl w:val="1"/>
          <w:numId w:val="1"/>
        </w:numPr>
        <w:tabs>
          <w:tab w:val="left" w:pos="831"/>
        </w:tabs>
        <w:autoSpaceDE w:val="0"/>
        <w:autoSpaceDN w:val="0"/>
        <w:spacing w:after="100" w:line="252" w:lineRule="auto"/>
        <w:ind w:left="839" w:right="125" w:hanging="431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 xml:space="preserve">Warunkiem wsparcia projektów dotyczących kompleksowej modernizacji energetycznej budynków jest konieczność zastosowania indywidualnych liczników ciepła, ciepłej wody oraz chłodu. Dodatkowo istnieje obowiązek instalacji termostatów i zaworów </w:t>
      </w:r>
      <w:proofErr w:type="spellStart"/>
      <w:r>
        <w:rPr>
          <w:rFonts w:ascii="Arial" w:eastAsia="Arial" w:hAnsi="Arial" w:cs="Arial"/>
          <w:lang w:eastAsia="pl-PL" w:bidi="pl-PL"/>
        </w:rPr>
        <w:t>podpionowych</w:t>
      </w:r>
      <w:proofErr w:type="spellEnd"/>
      <w:r>
        <w:rPr>
          <w:rFonts w:ascii="Arial" w:eastAsia="Arial" w:hAnsi="Arial" w:cs="Arial"/>
          <w:lang w:eastAsia="pl-PL" w:bidi="pl-PL"/>
        </w:rPr>
        <w:t>, jeżeli będzie to wynikać z przeprowadzonego audytu energetycznego. Powyższe wydatki będą stanowić koszt kwalifikowany.</w:t>
      </w:r>
    </w:p>
    <w:p w:rsidR="000B6F13" w:rsidRDefault="000B6F13">
      <w:pPr>
        <w:widowControl w:val="0"/>
        <w:numPr>
          <w:ilvl w:val="1"/>
          <w:numId w:val="1"/>
        </w:numPr>
        <w:tabs>
          <w:tab w:val="left" w:pos="831"/>
        </w:tabs>
        <w:autoSpaceDE w:val="0"/>
        <w:autoSpaceDN w:val="0"/>
        <w:spacing w:after="100" w:line="252" w:lineRule="auto"/>
        <w:ind w:left="839" w:right="125" w:hanging="431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Wsparcie projektów dotyczących wymiany źródeł ciepła musi skutkować znaczną redukcją CO</w:t>
      </w:r>
      <w:r>
        <w:rPr>
          <w:rFonts w:ascii="Arial" w:eastAsia="Arial" w:hAnsi="Arial" w:cs="Arial"/>
          <w:vertAlign w:val="subscript"/>
          <w:lang w:eastAsia="pl-PL" w:bidi="pl-PL"/>
        </w:rPr>
        <w:t>2</w:t>
      </w:r>
      <w:r>
        <w:rPr>
          <w:rFonts w:ascii="Arial" w:eastAsia="Arial" w:hAnsi="Arial" w:cs="Arial"/>
          <w:lang w:eastAsia="pl-PL" w:bidi="pl-PL"/>
        </w:rPr>
        <w:t xml:space="preserve"> w odniesieniu do istniejących instalacji (o co najmniej 30% w przypadku zamiany spalanego paliwa) oraz wykazać długotrwały charakter. Wspierane urządzenia do ogrzewania muszą charakteryzować się obowiązującym od końca 2020 r. minimalnym poziomem efektywności energetycznej i normami emisji zanieczyszczeń określonymi w środkach wykonawczych do dyrektywy 2009/125/WE.</w:t>
      </w:r>
    </w:p>
    <w:p w:rsidR="000B6F13" w:rsidRDefault="000B6F13">
      <w:pPr>
        <w:widowControl w:val="0"/>
        <w:numPr>
          <w:ilvl w:val="1"/>
          <w:numId w:val="1"/>
        </w:numPr>
        <w:tabs>
          <w:tab w:val="left" w:pos="831"/>
        </w:tabs>
        <w:autoSpaceDE w:val="0"/>
        <w:autoSpaceDN w:val="0"/>
        <w:spacing w:after="240" w:line="252" w:lineRule="auto"/>
        <w:ind w:left="839" w:right="125" w:hanging="431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 xml:space="preserve">Instalacje w kotły spalające biomasę lub paliwa gazowe będzie możliwa w szczególnie uzasadnionych przypadkach, gdy osiągnięte zostanie znaczne zwiększenie efektywności energetycznej oraz gdy istnieją szczególne pilne potrzeby (wynikająca z audytu energetycznego ex- </w:t>
      </w:r>
      <w:proofErr w:type="spellStart"/>
      <w:r>
        <w:rPr>
          <w:rFonts w:ascii="Arial" w:eastAsia="Arial" w:hAnsi="Arial" w:cs="Arial"/>
          <w:lang w:eastAsia="pl-PL" w:bidi="pl-PL"/>
        </w:rPr>
        <w:t>ante</w:t>
      </w:r>
      <w:proofErr w:type="spellEnd"/>
      <w:r>
        <w:rPr>
          <w:rFonts w:ascii="Arial" w:eastAsia="Arial" w:hAnsi="Arial" w:cs="Arial"/>
          <w:lang w:eastAsia="pl-PL" w:bidi="pl-PL"/>
        </w:rPr>
        <w:t>) a nie ma ekonomicznego uzasadnienia dla podłączenia do sieci ciepłowniczej.</w:t>
      </w:r>
    </w:p>
    <w:p w:rsidR="000B6F13" w:rsidRDefault="000B6F13" w:rsidP="00AE7A47">
      <w:pPr>
        <w:widowControl w:val="0"/>
        <w:numPr>
          <w:ilvl w:val="0"/>
          <w:numId w:val="1"/>
        </w:numPr>
        <w:tabs>
          <w:tab w:val="left" w:pos="545"/>
        </w:tabs>
        <w:autoSpaceDE w:val="0"/>
        <w:autoSpaceDN w:val="0"/>
        <w:spacing w:after="240" w:line="240" w:lineRule="auto"/>
        <w:ind w:hanging="431"/>
        <w:jc w:val="both"/>
        <w:rPr>
          <w:rFonts w:ascii="Arial" w:eastAsia="Arial" w:hAnsi="Arial" w:cs="Arial"/>
          <w:b/>
          <w:lang w:eastAsia="pl-PL" w:bidi="pl-PL"/>
        </w:rPr>
      </w:pPr>
      <w:r>
        <w:rPr>
          <w:rFonts w:ascii="Arial" w:eastAsia="Arial" w:hAnsi="Arial" w:cs="Arial"/>
          <w:b/>
          <w:lang w:eastAsia="pl-PL" w:bidi="pl-PL"/>
        </w:rPr>
        <w:t>Wykluczenia z finansowania</w:t>
      </w:r>
    </w:p>
    <w:p w:rsidR="000B6F13" w:rsidRDefault="000B6F13" w:rsidP="00AE7A47">
      <w:pPr>
        <w:widowControl w:val="0"/>
        <w:autoSpaceDE w:val="0"/>
        <w:autoSpaceDN w:val="0"/>
        <w:spacing w:after="100" w:line="240" w:lineRule="auto"/>
        <w:ind w:left="113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W ramach instrumentu nie jest możliwe:</w:t>
      </w:r>
    </w:p>
    <w:p w:rsidR="000B6F13" w:rsidRDefault="000B6F13" w:rsidP="00CA6ABA">
      <w:pPr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spacing w:after="100" w:line="252" w:lineRule="auto"/>
        <w:ind w:left="833" w:right="142" w:hanging="357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finansowanie wydatków pokrytych uprzednio ze środków EFSI, z innych funduszy, programów, środków i instrumentów Unii Europejskiej lub innych źródeł pomocy krajowej  lub zagranicznej;</w:t>
      </w:r>
    </w:p>
    <w:p w:rsidR="000B6F13" w:rsidRDefault="000B6F13">
      <w:pPr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spacing w:after="100" w:line="252" w:lineRule="auto"/>
        <w:ind w:left="833" w:right="142" w:hanging="357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refinansowanie inwestycji, które w dniu podjęcia decyzji inwestycyjnej zostały fizycznie ukończone lub w pełni wdrożone;</w:t>
      </w:r>
    </w:p>
    <w:p w:rsidR="000B6F13" w:rsidRDefault="000B6F13">
      <w:pPr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spacing w:after="100" w:line="252" w:lineRule="auto"/>
        <w:ind w:left="833" w:right="142" w:hanging="357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refinansowanie jakichkolwiek pożyczek lub kredytów;</w:t>
      </w:r>
    </w:p>
    <w:p w:rsidR="000B6F13" w:rsidRDefault="000B6F13">
      <w:pPr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spacing w:after="100" w:line="252" w:lineRule="auto"/>
        <w:ind w:left="833" w:right="142" w:hanging="357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 xml:space="preserve">spłatę zobowiązań </w:t>
      </w:r>
      <w:proofErr w:type="spellStart"/>
      <w:r>
        <w:rPr>
          <w:rFonts w:ascii="Arial" w:eastAsia="Arial" w:hAnsi="Arial" w:cs="Arial"/>
          <w:lang w:eastAsia="pl-PL" w:bidi="pl-PL"/>
        </w:rPr>
        <w:t>publiczno</w:t>
      </w:r>
      <w:proofErr w:type="spellEnd"/>
      <w:r>
        <w:rPr>
          <w:rFonts w:ascii="Arial" w:eastAsia="Arial" w:hAnsi="Arial" w:cs="Arial"/>
          <w:lang w:eastAsia="pl-PL" w:bidi="pl-PL"/>
        </w:rPr>
        <w:t xml:space="preserve"> – prawnych Ostatecznego Odbiorcy;</w:t>
      </w:r>
    </w:p>
    <w:p w:rsidR="000B6F13" w:rsidRDefault="000B6F13">
      <w:pPr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spacing w:after="100" w:line="252" w:lineRule="auto"/>
        <w:ind w:left="833" w:right="142" w:hanging="357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 xml:space="preserve">finansowanie działalności wykluczonej z możliwości uzyskania pomocy na podstawie </w:t>
      </w:r>
      <w:r>
        <w:rPr>
          <w:rFonts w:ascii="Arial" w:eastAsia="Arial" w:hAnsi="Arial" w:cs="Arial"/>
          <w:lang w:eastAsia="pl-PL" w:bidi="pl-PL"/>
        </w:rPr>
        <w:lastRenderedPageBreak/>
        <w:t>rozporządzenia Ministra Infrastruktury i Rozwoju z dnia 28.08.2015r. w sprawie udzielania pomocy na inwestycje wspierające efektywność energetyczną w ramach regionalnych programów operacyjnych na lata 2014-2020 w przypadku udzielenia Ostatecznemu Odbiorcy pomocy publicznej;</w:t>
      </w:r>
    </w:p>
    <w:p w:rsidR="000B6F13" w:rsidRDefault="000B6F13">
      <w:pPr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spacing w:after="100" w:line="252" w:lineRule="auto"/>
        <w:ind w:left="833" w:right="142" w:hanging="357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w zakresie wymiany lub modernizacji źródeł ciepła, nie będą wspierane instalacje opalane węglem (w tym w zakresie pieców, kotłów węglowych);</w:t>
      </w:r>
    </w:p>
    <w:p w:rsidR="000B6F13" w:rsidRDefault="000B6F13">
      <w:pPr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spacing w:after="100" w:line="252" w:lineRule="auto"/>
        <w:ind w:left="833" w:right="142" w:hanging="357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nie kwalifikują się do wsparcia projekty zwiększające efektywność energetyczną (rozumianą jako oszczędność energii końcowej) poniżej 25% w stosunku do stanu wyjściowego określonego w audycie energetycznym</w:t>
      </w:r>
      <w:r w:rsidR="000C24FF">
        <w:rPr>
          <w:rStyle w:val="Odwoanieprzypisudolnego"/>
          <w:rFonts w:ascii="Arial" w:eastAsia="Arial" w:hAnsi="Arial" w:cs="Arial"/>
          <w:lang w:eastAsia="pl-PL" w:bidi="pl-PL"/>
        </w:rPr>
        <w:footnoteReference w:id="3"/>
      </w:r>
      <w:r>
        <w:rPr>
          <w:rFonts w:ascii="Arial" w:eastAsia="Arial" w:hAnsi="Arial" w:cs="Arial"/>
          <w:lang w:eastAsia="pl-PL" w:bidi="pl-PL"/>
        </w:rPr>
        <w:t>;</w:t>
      </w:r>
    </w:p>
    <w:p w:rsidR="000B6F13" w:rsidRDefault="000B6F13">
      <w:pPr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spacing w:after="100" w:line="252" w:lineRule="auto"/>
        <w:ind w:left="833" w:right="142" w:hanging="357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w zakresie wymiany indywidualnych źródeł ciepła projekty, które skutkują redukcją CO</w:t>
      </w:r>
      <w:r>
        <w:rPr>
          <w:rFonts w:ascii="Arial" w:eastAsia="Arial" w:hAnsi="Arial" w:cs="Arial"/>
          <w:vertAlign w:val="subscript"/>
          <w:lang w:eastAsia="pl-PL" w:bidi="pl-PL"/>
        </w:rPr>
        <w:t>2</w:t>
      </w:r>
      <w:r>
        <w:rPr>
          <w:rFonts w:ascii="Arial" w:eastAsia="Arial" w:hAnsi="Arial" w:cs="Arial"/>
          <w:lang w:eastAsia="pl-PL" w:bidi="pl-PL"/>
        </w:rPr>
        <w:t xml:space="preserve"> poniżej 30% w stosunku do stanu wyjściowego określonego w audycie energetycznym oraz nie spełniają wymogów dyrektywy 2009/125/WE, nie kwalifikują się do wsparcia;</w:t>
      </w:r>
    </w:p>
    <w:p w:rsidR="000B6F13" w:rsidRDefault="000B6F13">
      <w:pPr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spacing w:after="100" w:line="252" w:lineRule="auto"/>
        <w:ind w:left="833" w:right="142" w:hanging="357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finansowanie zakupu gruntów niezabudowanych i zabudowanych w ramach finansowanej inwestycji;</w:t>
      </w:r>
    </w:p>
    <w:p w:rsidR="000B6F13" w:rsidRDefault="000B6F13">
      <w:pPr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spacing w:after="240" w:line="252" w:lineRule="auto"/>
        <w:ind w:left="833" w:right="142" w:hanging="357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pokrywania bieżących kosztów prowadzenia działalności.</w:t>
      </w:r>
    </w:p>
    <w:p w:rsidR="000B6F13" w:rsidRDefault="000B6F13" w:rsidP="00AE7A47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ind w:hanging="431"/>
        <w:jc w:val="both"/>
        <w:rPr>
          <w:rFonts w:ascii="Arial" w:eastAsia="Arial" w:hAnsi="Arial" w:cs="Arial"/>
          <w:b/>
          <w:lang w:eastAsia="pl-PL" w:bidi="pl-PL"/>
        </w:rPr>
      </w:pPr>
      <w:r>
        <w:rPr>
          <w:rFonts w:ascii="Arial" w:eastAsia="Arial" w:hAnsi="Arial" w:cs="Arial"/>
          <w:b/>
          <w:lang w:eastAsia="pl-PL" w:bidi="pl-PL"/>
        </w:rPr>
        <w:t xml:space="preserve">Zasady odpłatności za udzielenie </w:t>
      </w:r>
      <w:r w:rsidR="0089524D">
        <w:rPr>
          <w:rFonts w:ascii="Arial" w:eastAsia="Arial" w:hAnsi="Arial" w:cs="Arial"/>
          <w:b/>
          <w:lang w:eastAsia="pl-PL" w:bidi="pl-PL"/>
        </w:rPr>
        <w:t xml:space="preserve">Jednostkowej </w:t>
      </w:r>
      <w:r>
        <w:rPr>
          <w:rFonts w:ascii="Arial" w:eastAsia="Arial" w:hAnsi="Arial" w:cs="Arial"/>
          <w:b/>
          <w:lang w:eastAsia="pl-PL" w:bidi="pl-PL"/>
        </w:rPr>
        <w:t xml:space="preserve">Pożyczki </w:t>
      </w:r>
    </w:p>
    <w:p w:rsidR="000B6F13" w:rsidRDefault="000B6F13" w:rsidP="00AE7A47">
      <w:pPr>
        <w:widowControl w:val="0"/>
        <w:numPr>
          <w:ilvl w:val="1"/>
          <w:numId w:val="1"/>
        </w:numPr>
        <w:tabs>
          <w:tab w:val="left" w:pos="838"/>
        </w:tabs>
        <w:autoSpaceDE w:val="0"/>
        <w:autoSpaceDN w:val="0"/>
        <w:spacing w:after="100" w:line="240" w:lineRule="auto"/>
        <w:ind w:left="837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Jednostkowe Pożyczki udzielane są przez Pośrednika Finansowego</w:t>
      </w:r>
      <w:r w:rsidR="002343CD">
        <w:rPr>
          <w:rFonts w:ascii="Arial" w:eastAsia="Arial" w:hAnsi="Arial" w:cs="Arial"/>
          <w:lang w:eastAsia="pl-PL" w:bidi="pl-PL"/>
        </w:rPr>
        <w:t xml:space="preserve"> na warunkach korzystniejszych niż rynkowe</w:t>
      </w:r>
      <w:r w:rsidR="000B2A40">
        <w:rPr>
          <w:rStyle w:val="Odwoanieprzypisudolnego"/>
          <w:rFonts w:ascii="Arial" w:eastAsia="Arial" w:hAnsi="Arial" w:cs="Arial"/>
          <w:lang w:eastAsia="pl-PL" w:bidi="pl-PL"/>
        </w:rPr>
        <w:footnoteReference w:id="4"/>
      </w:r>
      <w:r w:rsidR="002343CD">
        <w:rPr>
          <w:rFonts w:ascii="Arial" w:eastAsia="Arial" w:hAnsi="Arial" w:cs="Arial"/>
          <w:lang w:eastAsia="pl-PL" w:bidi="pl-PL"/>
        </w:rPr>
        <w:t>, tj. preferencyjnych.</w:t>
      </w:r>
    </w:p>
    <w:p w:rsidR="0014404B" w:rsidRPr="0014404B" w:rsidRDefault="0014404B" w:rsidP="00AE7A47">
      <w:pPr>
        <w:widowControl w:val="0"/>
        <w:numPr>
          <w:ilvl w:val="1"/>
          <w:numId w:val="1"/>
        </w:numPr>
        <w:tabs>
          <w:tab w:val="left" w:pos="838"/>
        </w:tabs>
        <w:autoSpaceDE w:val="0"/>
        <w:autoSpaceDN w:val="0"/>
        <w:spacing w:after="100" w:line="240" w:lineRule="auto"/>
        <w:ind w:left="837"/>
        <w:jc w:val="both"/>
        <w:rPr>
          <w:rFonts w:ascii="Arial" w:eastAsia="Arial" w:hAnsi="Arial" w:cs="Arial"/>
          <w:lang w:eastAsia="pl-PL" w:bidi="pl-PL"/>
        </w:rPr>
      </w:pPr>
      <w:r w:rsidRPr="0014404B">
        <w:rPr>
          <w:rFonts w:ascii="Arial" w:eastAsia="Arial" w:hAnsi="Arial" w:cs="Arial"/>
          <w:lang w:eastAsia="pl-PL" w:bidi="pl-PL"/>
        </w:rPr>
        <w:t>W</w:t>
      </w:r>
      <w:r>
        <w:rPr>
          <w:rFonts w:ascii="Arial" w:eastAsia="Arial" w:hAnsi="Arial" w:cs="Arial"/>
          <w:lang w:eastAsia="pl-PL" w:bidi="pl-PL"/>
        </w:rPr>
        <w:t xml:space="preserve"> </w:t>
      </w:r>
      <w:r w:rsidRPr="0014404B">
        <w:rPr>
          <w:rFonts w:ascii="Arial" w:eastAsia="Arial" w:hAnsi="Arial" w:cs="Arial"/>
          <w:lang w:eastAsia="pl-PL" w:bidi="pl-PL"/>
        </w:rPr>
        <w:t xml:space="preserve">zależności od przedmiotu projektu, statusu/formy prawnej Ostatecznego Odbiorcy, Jednostkowe Pożyczki mogą stanowić pomoc publiczną/pomoc de </w:t>
      </w:r>
      <w:proofErr w:type="spellStart"/>
      <w:r w:rsidRPr="0014404B">
        <w:rPr>
          <w:rFonts w:ascii="Arial" w:eastAsia="Arial" w:hAnsi="Arial" w:cs="Arial"/>
          <w:lang w:eastAsia="pl-PL" w:bidi="pl-PL"/>
        </w:rPr>
        <w:t>minimis</w:t>
      </w:r>
      <w:proofErr w:type="spellEnd"/>
      <w:r w:rsidRPr="0014404B">
        <w:rPr>
          <w:rFonts w:ascii="Arial" w:eastAsia="Arial" w:hAnsi="Arial" w:cs="Arial"/>
          <w:lang w:eastAsia="pl-PL" w:bidi="pl-PL"/>
        </w:rPr>
        <w:t xml:space="preserve"> lub zostać udzielone bez pomocy publicznej. Przy udzielaniu Jednostkowej Pożyczki dopuszczalne są formy pomocy</w:t>
      </w:r>
      <w:r w:rsidRPr="0014404B">
        <w:rPr>
          <w:rFonts w:ascii="Arial" w:eastAsia="Arial" w:hAnsi="Arial" w:cs="Arial"/>
          <w:vertAlign w:val="superscript"/>
          <w:lang w:eastAsia="pl-PL" w:bidi="pl-PL"/>
        </w:rPr>
        <w:footnoteReference w:id="5"/>
      </w:r>
      <w:r w:rsidRPr="0014404B">
        <w:rPr>
          <w:rFonts w:ascii="Arial" w:eastAsia="Arial" w:hAnsi="Arial" w:cs="Arial"/>
          <w:lang w:eastAsia="pl-PL" w:bidi="pl-PL"/>
        </w:rPr>
        <w:t xml:space="preserve">: </w:t>
      </w:r>
    </w:p>
    <w:p w:rsidR="0014404B" w:rsidRPr="0014404B" w:rsidRDefault="0014404B" w:rsidP="00AE7A47">
      <w:pPr>
        <w:widowControl w:val="0"/>
        <w:numPr>
          <w:ilvl w:val="2"/>
          <w:numId w:val="10"/>
        </w:numPr>
        <w:tabs>
          <w:tab w:val="left" w:pos="838"/>
        </w:tabs>
        <w:autoSpaceDE w:val="0"/>
        <w:autoSpaceDN w:val="0"/>
        <w:spacing w:after="100" w:line="240" w:lineRule="auto"/>
        <w:jc w:val="both"/>
        <w:rPr>
          <w:rFonts w:ascii="Arial" w:eastAsia="Arial" w:hAnsi="Arial" w:cs="Arial"/>
          <w:lang w:eastAsia="pl-PL" w:bidi="pl-PL"/>
        </w:rPr>
      </w:pPr>
      <w:r w:rsidRPr="0014404B">
        <w:rPr>
          <w:rFonts w:ascii="Arial" w:eastAsia="Arial" w:hAnsi="Arial" w:cs="Arial"/>
          <w:lang w:eastAsia="pl-PL" w:bidi="pl-PL"/>
        </w:rPr>
        <w:t xml:space="preserve">Pomocy inwestycyjnej podlegającej </w:t>
      </w:r>
      <w:proofErr w:type="spellStart"/>
      <w:r w:rsidRPr="0014404B">
        <w:rPr>
          <w:rFonts w:ascii="Arial" w:eastAsia="Arial" w:hAnsi="Arial" w:cs="Arial"/>
          <w:lang w:eastAsia="pl-PL" w:bidi="pl-PL"/>
        </w:rPr>
        <w:t>wyłączeniom</w:t>
      </w:r>
      <w:proofErr w:type="spellEnd"/>
      <w:r w:rsidRPr="0014404B">
        <w:rPr>
          <w:rFonts w:ascii="Arial" w:eastAsia="Arial" w:hAnsi="Arial" w:cs="Arial"/>
          <w:lang w:eastAsia="pl-PL" w:bidi="pl-PL"/>
        </w:rPr>
        <w:t xml:space="preserve"> blokowym – </w:t>
      </w:r>
      <w:r w:rsidRPr="0014404B">
        <w:rPr>
          <w:rFonts w:ascii="Arial" w:eastAsia="Arial" w:hAnsi="Arial" w:cs="Arial"/>
          <w:i/>
          <w:lang w:eastAsia="pl-PL" w:bidi="pl-PL"/>
        </w:rPr>
        <w:t>na podstawie Rozporządzenia Ministra Infrastruktury i Rozwoju z dnia 28 sierpnia 2015 r. w sprawie pomocy inwestycyjnej na projekty wspierające efektywność energetyczną w ramach Regionalnych Programów Operacyjnych na lata 2014 – 2020, do którego zastosowanie mają zapisy Rozporządzenia Komisji Europejskiej (UE) NR 651/2014 z dnia 17 czerwca 2014 r. uznające niektóre rodzaje pomocy za zgodne z rynkiem wewnętrznym w zastosowaniu art. 107 i 108 Traktatu</w:t>
      </w:r>
      <w:r w:rsidRPr="0014404B">
        <w:rPr>
          <w:rFonts w:ascii="Arial" w:eastAsia="Arial" w:hAnsi="Arial" w:cs="Arial"/>
          <w:lang w:eastAsia="pl-PL" w:bidi="pl-PL"/>
        </w:rPr>
        <w:t>;</w:t>
      </w:r>
    </w:p>
    <w:p w:rsidR="0014404B" w:rsidRPr="0014404B" w:rsidRDefault="0014404B" w:rsidP="00AE7A47">
      <w:pPr>
        <w:widowControl w:val="0"/>
        <w:numPr>
          <w:ilvl w:val="2"/>
          <w:numId w:val="10"/>
        </w:numPr>
        <w:tabs>
          <w:tab w:val="left" w:pos="838"/>
        </w:tabs>
        <w:autoSpaceDE w:val="0"/>
        <w:autoSpaceDN w:val="0"/>
        <w:spacing w:after="100" w:line="240" w:lineRule="auto"/>
        <w:jc w:val="both"/>
        <w:rPr>
          <w:rFonts w:ascii="Arial" w:eastAsia="Arial" w:hAnsi="Arial" w:cs="Arial"/>
          <w:lang w:eastAsia="pl-PL" w:bidi="pl-PL"/>
        </w:rPr>
      </w:pPr>
      <w:r w:rsidRPr="0014404B">
        <w:rPr>
          <w:rFonts w:ascii="Arial" w:eastAsia="Arial" w:hAnsi="Arial" w:cs="Arial"/>
          <w:lang w:eastAsia="pl-PL" w:bidi="pl-PL"/>
        </w:rPr>
        <w:t xml:space="preserve">Pożyczek w formie de </w:t>
      </w:r>
      <w:proofErr w:type="spellStart"/>
      <w:r w:rsidRPr="0014404B">
        <w:rPr>
          <w:rFonts w:ascii="Arial" w:eastAsia="Arial" w:hAnsi="Arial" w:cs="Arial"/>
          <w:lang w:eastAsia="pl-PL" w:bidi="pl-PL"/>
        </w:rPr>
        <w:t>minimis</w:t>
      </w:r>
      <w:proofErr w:type="spellEnd"/>
      <w:r w:rsidRPr="0014404B">
        <w:rPr>
          <w:rFonts w:ascii="Arial" w:eastAsia="Arial" w:hAnsi="Arial" w:cs="Arial"/>
          <w:lang w:eastAsia="pl-PL" w:bidi="pl-PL"/>
        </w:rPr>
        <w:t xml:space="preserve"> - </w:t>
      </w:r>
      <w:r w:rsidRPr="0014404B">
        <w:rPr>
          <w:rFonts w:ascii="Arial" w:eastAsia="Arial" w:hAnsi="Arial" w:cs="Arial"/>
          <w:i/>
          <w:lang w:eastAsia="pl-PL" w:bidi="pl-PL"/>
        </w:rPr>
        <w:t>w rozumieniu</w:t>
      </w:r>
      <w:r w:rsidRPr="0014404B">
        <w:rPr>
          <w:rFonts w:ascii="Arial" w:eastAsia="Arial" w:hAnsi="Arial" w:cs="Arial"/>
          <w:lang w:eastAsia="pl-PL" w:bidi="pl-PL"/>
        </w:rPr>
        <w:t xml:space="preserve"> </w:t>
      </w:r>
      <w:r w:rsidRPr="0014404B">
        <w:rPr>
          <w:rFonts w:ascii="Arial" w:eastAsia="Arial" w:hAnsi="Arial" w:cs="Arial"/>
          <w:i/>
          <w:lang w:eastAsia="pl-PL" w:bidi="pl-PL"/>
        </w:rPr>
        <w:t xml:space="preserve">Rozporządzenia Komisji (UE) nr 1407/2013 z dnia 18 grudnia 2013 r. w sprawie stosowania art. 107 i 108 Traktatu o funkcjonowaniu Unii Europejskiej do pomocy de </w:t>
      </w:r>
      <w:proofErr w:type="spellStart"/>
      <w:r w:rsidRPr="0014404B">
        <w:rPr>
          <w:rFonts w:ascii="Arial" w:eastAsia="Arial" w:hAnsi="Arial" w:cs="Arial"/>
          <w:i/>
          <w:lang w:eastAsia="pl-PL" w:bidi="pl-PL"/>
        </w:rPr>
        <w:t>minimis</w:t>
      </w:r>
      <w:proofErr w:type="spellEnd"/>
      <w:r w:rsidRPr="0014404B">
        <w:rPr>
          <w:rFonts w:ascii="Arial" w:eastAsia="Arial" w:hAnsi="Arial" w:cs="Arial"/>
          <w:i/>
          <w:lang w:eastAsia="pl-PL" w:bidi="pl-PL"/>
        </w:rPr>
        <w:t xml:space="preserve"> </w:t>
      </w:r>
      <w:r w:rsidRPr="0014404B">
        <w:rPr>
          <w:rFonts w:ascii="Arial" w:eastAsia="Arial" w:hAnsi="Arial" w:cs="Arial"/>
          <w:lang w:eastAsia="pl-PL" w:bidi="pl-PL"/>
        </w:rPr>
        <w:t xml:space="preserve">oraz </w:t>
      </w:r>
      <w:r w:rsidRPr="0014404B">
        <w:rPr>
          <w:rFonts w:ascii="Arial" w:eastAsia="Arial" w:hAnsi="Arial" w:cs="Arial"/>
          <w:i/>
          <w:lang w:eastAsia="pl-PL" w:bidi="pl-PL"/>
        </w:rPr>
        <w:t xml:space="preserve">Rozporządzenia Ministra Infrastruktury i Rozwoju z dnia 19 marca 2015 r. w sprawie udzielania pomocy de </w:t>
      </w:r>
      <w:proofErr w:type="spellStart"/>
      <w:r w:rsidRPr="0014404B">
        <w:rPr>
          <w:rFonts w:ascii="Arial" w:eastAsia="Arial" w:hAnsi="Arial" w:cs="Arial"/>
          <w:i/>
          <w:lang w:eastAsia="pl-PL" w:bidi="pl-PL"/>
        </w:rPr>
        <w:t>minimis</w:t>
      </w:r>
      <w:proofErr w:type="spellEnd"/>
      <w:r w:rsidRPr="0014404B">
        <w:rPr>
          <w:rFonts w:ascii="Arial" w:eastAsia="Arial" w:hAnsi="Arial" w:cs="Arial"/>
          <w:i/>
          <w:lang w:eastAsia="pl-PL" w:bidi="pl-PL"/>
        </w:rPr>
        <w:t xml:space="preserve"> </w:t>
      </w:r>
      <w:r w:rsidRPr="0014404B">
        <w:rPr>
          <w:rFonts w:ascii="Arial" w:eastAsia="Arial" w:hAnsi="Arial" w:cs="Arial"/>
          <w:i/>
          <w:lang w:eastAsia="pl-PL" w:bidi="pl-PL"/>
        </w:rPr>
        <w:lastRenderedPageBreak/>
        <w:t>w ramach regionalnych programów operacyjnych na lata 2014 – 2020 (</w:t>
      </w:r>
      <w:r w:rsidRPr="0014404B">
        <w:rPr>
          <w:rFonts w:ascii="Arial" w:eastAsia="Arial" w:hAnsi="Arial" w:cs="Arial"/>
          <w:lang w:eastAsia="pl-PL" w:bidi="pl-PL"/>
        </w:rPr>
        <w:t>Dz.U. 2015 poz. 488 z późniejszymi zmianami).</w:t>
      </w:r>
    </w:p>
    <w:p w:rsidR="0014404B" w:rsidRDefault="0014404B" w:rsidP="00AE7A47">
      <w:pPr>
        <w:widowControl w:val="0"/>
        <w:tabs>
          <w:tab w:val="left" w:pos="838"/>
        </w:tabs>
        <w:autoSpaceDE w:val="0"/>
        <w:autoSpaceDN w:val="0"/>
        <w:spacing w:after="100" w:line="240" w:lineRule="auto"/>
        <w:ind w:left="837"/>
        <w:jc w:val="both"/>
        <w:rPr>
          <w:rFonts w:ascii="Arial" w:eastAsia="Arial" w:hAnsi="Arial" w:cs="Arial"/>
          <w:lang w:eastAsia="pl-PL" w:bidi="pl-PL"/>
        </w:rPr>
      </w:pPr>
    </w:p>
    <w:p w:rsidR="000B6F13" w:rsidRDefault="000B6F13" w:rsidP="00131506">
      <w:pPr>
        <w:widowControl w:val="0"/>
        <w:numPr>
          <w:ilvl w:val="1"/>
          <w:numId w:val="1"/>
        </w:numPr>
        <w:tabs>
          <w:tab w:val="left" w:pos="838"/>
        </w:tabs>
        <w:autoSpaceDE w:val="0"/>
        <w:autoSpaceDN w:val="0"/>
        <w:spacing w:after="100" w:line="252" w:lineRule="auto"/>
        <w:ind w:left="839" w:right="130" w:hanging="431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Oprocentowanie Jednostkowej Pożyczki Termomodernizacyjnej</w:t>
      </w:r>
      <w:r w:rsidR="00E2685F">
        <w:rPr>
          <w:rFonts w:ascii="Arial" w:eastAsia="Arial" w:hAnsi="Arial" w:cs="Arial"/>
          <w:lang w:eastAsia="pl-PL" w:bidi="pl-PL"/>
        </w:rPr>
        <w:t>,</w:t>
      </w:r>
      <w:bookmarkStart w:id="1" w:name="_Hlk1636936"/>
      <w:r w:rsidR="005325A2">
        <w:rPr>
          <w:rFonts w:ascii="Arial" w:eastAsia="Arial" w:hAnsi="Arial" w:cs="Arial"/>
          <w:lang w:eastAsia="pl-PL" w:bidi="pl-PL"/>
        </w:rPr>
        <w:t xml:space="preserve"> </w:t>
      </w:r>
      <w:r w:rsidR="00E2685F" w:rsidRPr="00E2685F">
        <w:rPr>
          <w:rFonts w:ascii="Arial" w:eastAsia="Arial" w:hAnsi="Arial" w:cs="Arial"/>
          <w:lang w:eastAsia="pl-PL" w:bidi="pl-PL"/>
        </w:rPr>
        <w:t>niez</w:t>
      </w:r>
      <w:r w:rsidR="00131506">
        <w:rPr>
          <w:rFonts w:ascii="Arial" w:eastAsia="Arial" w:hAnsi="Arial" w:cs="Arial"/>
          <w:lang w:eastAsia="pl-PL" w:bidi="pl-PL"/>
        </w:rPr>
        <w:t>a</w:t>
      </w:r>
      <w:r w:rsidR="00E2685F" w:rsidRPr="00E2685F">
        <w:rPr>
          <w:rFonts w:ascii="Arial" w:eastAsia="Arial" w:hAnsi="Arial" w:cs="Arial"/>
          <w:lang w:eastAsia="pl-PL" w:bidi="pl-PL"/>
        </w:rPr>
        <w:t>l</w:t>
      </w:r>
      <w:r w:rsidR="00131506">
        <w:rPr>
          <w:rFonts w:ascii="Arial" w:eastAsia="Arial" w:hAnsi="Arial" w:cs="Arial"/>
          <w:lang w:eastAsia="pl-PL" w:bidi="pl-PL"/>
        </w:rPr>
        <w:t>e</w:t>
      </w:r>
      <w:r w:rsidR="00E2685F" w:rsidRPr="00E2685F">
        <w:rPr>
          <w:rFonts w:ascii="Arial" w:eastAsia="Arial" w:hAnsi="Arial" w:cs="Arial"/>
          <w:lang w:eastAsia="pl-PL" w:bidi="pl-PL"/>
        </w:rPr>
        <w:t>żnie od tego czy jest udzielana z pomocą publiczną czy bez pomocy publicznej</w:t>
      </w:r>
      <w:bookmarkEnd w:id="1"/>
      <w:r w:rsidR="00E2685F">
        <w:rPr>
          <w:rFonts w:ascii="Arial" w:eastAsia="Arial" w:hAnsi="Arial" w:cs="Arial"/>
          <w:lang w:eastAsia="pl-PL" w:bidi="pl-PL"/>
        </w:rPr>
        <w:t>,</w:t>
      </w:r>
      <w:r>
        <w:rPr>
          <w:rFonts w:ascii="Arial" w:eastAsia="Arial" w:hAnsi="Arial" w:cs="Arial"/>
          <w:lang w:eastAsia="pl-PL" w:bidi="pl-PL"/>
        </w:rPr>
        <w:t xml:space="preserve"> jest stałe </w:t>
      </w:r>
      <w:r w:rsidR="00131506">
        <w:rPr>
          <w:rFonts w:ascii="Arial" w:eastAsia="Arial" w:hAnsi="Arial" w:cs="Arial"/>
          <w:lang w:eastAsia="pl-PL" w:bidi="pl-PL"/>
        </w:rPr>
        <w:t xml:space="preserve">i wynosi 0%. </w:t>
      </w:r>
    </w:p>
    <w:p w:rsidR="000B6F13" w:rsidRDefault="000B6F13">
      <w:pPr>
        <w:widowControl w:val="0"/>
        <w:numPr>
          <w:ilvl w:val="1"/>
          <w:numId w:val="1"/>
        </w:numPr>
        <w:tabs>
          <w:tab w:val="left" w:pos="838"/>
        </w:tabs>
        <w:autoSpaceDE w:val="0"/>
        <w:autoSpaceDN w:val="0"/>
        <w:spacing w:after="0" w:line="252" w:lineRule="auto"/>
        <w:ind w:left="839" w:right="130" w:hanging="431"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>Od środków Jednostkowej Pożyczki Termomodernizacyjnej nie pobiera się żadnych opłat i prowizji związanych z ich udostępnieniem i obsługą. Powyższe nie dotyczy odrębnie uregulowanych czynności windykacyjnych.</w:t>
      </w:r>
    </w:p>
    <w:p w:rsidR="000B6F13" w:rsidRDefault="000B6F13" w:rsidP="000B6F1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pl-PL" w:bidi="pl-PL"/>
        </w:rPr>
      </w:pPr>
    </w:p>
    <w:p w:rsidR="000B6F13" w:rsidRDefault="000B6F13" w:rsidP="000B6F1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pl-PL" w:bidi="pl-PL"/>
        </w:rPr>
      </w:pPr>
    </w:p>
    <w:p w:rsidR="000B6F13" w:rsidRDefault="000B6F13" w:rsidP="000B6F1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pl-PL" w:bidi="pl-PL"/>
        </w:rPr>
      </w:pPr>
    </w:p>
    <w:p w:rsidR="000B6F13" w:rsidRDefault="000B6F13" w:rsidP="000B6F1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pl-PL" w:bidi="pl-PL"/>
        </w:rPr>
      </w:pPr>
    </w:p>
    <w:p w:rsidR="000B6F13" w:rsidRDefault="000B6F13" w:rsidP="000B6F1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pl-PL" w:bidi="pl-PL"/>
        </w:rPr>
      </w:pPr>
    </w:p>
    <w:p w:rsidR="000B6F13" w:rsidRDefault="000B6F13" w:rsidP="000B6F1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pl-PL" w:bidi="pl-PL"/>
        </w:rPr>
      </w:pPr>
    </w:p>
    <w:p w:rsidR="000B6F13" w:rsidRDefault="000B6F13" w:rsidP="000B6F1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pl-PL" w:bidi="pl-PL"/>
        </w:rPr>
      </w:pPr>
    </w:p>
    <w:p w:rsidR="000B6F13" w:rsidRDefault="000B6F13" w:rsidP="000B6F1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pl-PL" w:bidi="pl-PL"/>
        </w:rPr>
      </w:pPr>
      <w:bookmarkStart w:id="2" w:name="_Hlk514328651"/>
      <w:r>
        <w:rPr>
          <w:rFonts w:ascii="Arial" w:eastAsia="Arial" w:hAnsi="Arial" w:cs="Arial"/>
          <w:sz w:val="20"/>
          <w:lang w:eastAsia="pl-PL" w:bidi="pl-PL"/>
        </w:rPr>
        <w:t>_______________________________</w:t>
      </w:r>
    </w:p>
    <w:p w:rsidR="000B6F13" w:rsidRDefault="000B6F13" w:rsidP="000B6F13">
      <w:pPr>
        <w:widowControl w:val="0"/>
        <w:tabs>
          <w:tab w:val="left" w:pos="838"/>
        </w:tabs>
        <w:autoSpaceDE w:val="0"/>
        <w:autoSpaceDN w:val="0"/>
        <w:spacing w:after="0" w:line="252" w:lineRule="auto"/>
        <w:ind w:right="141"/>
        <w:rPr>
          <w:rFonts w:ascii="Arial" w:eastAsia="Arial" w:hAnsi="Arial" w:cs="Arial"/>
          <w:sz w:val="18"/>
          <w:szCs w:val="18"/>
          <w:lang w:eastAsia="pl-PL" w:bidi="pl-PL"/>
        </w:rPr>
      </w:pPr>
      <w:r>
        <w:rPr>
          <w:rFonts w:ascii="Arial" w:eastAsia="Arial" w:hAnsi="Arial" w:cs="Arial"/>
          <w:sz w:val="18"/>
          <w:szCs w:val="18"/>
          <w:lang w:eastAsia="pl-PL" w:bidi="pl-PL"/>
        </w:rPr>
        <w:t xml:space="preserve">Podpis pośrednika finansowego </w:t>
      </w:r>
    </w:p>
    <w:bookmarkEnd w:id="2"/>
    <w:p w:rsidR="000B6F13" w:rsidRDefault="000B6F13" w:rsidP="000B6F13"/>
    <w:p w:rsidR="000B6F13" w:rsidRDefault="000B6F13" w:rsidP="000B6F13"/>
    <w:p w:rsidR="000B6F13" w:rsidRDefault="000B6F13" w:rsidP="000B6F13">
      <w:r>
        <w:t>Oświadczam, że zapoznałem</w:t>
      </w:r>
      <w:r w:rsidR="00B009DE">
        <w:t>/</w:t>
      </w:r>
      <w:proofErr w:type="spellStart"/>
      <w:r w:rsidR="0015076D">
        <w:t>am</w:t>
      </w:r>
      <w:proofErr w:type="spellEnd"/>
      <w:r>
        <w:t xml:space="preserve"> się z treścią niniejszego dokumentu: </w:t>
      </w:r>
    </w:p>
    <w:p w:rsidR="000B6F13" w:rsidRDefault="000B6F13" w:rsidP="000B6F13"/>
    <w:p w:rsidR="000B6F13" w:rsidRDefault="000B6F13" w:rsidP="000B6F13"/>
    <w:p w:rsidR="000B6F13" w:rsidRDefault="000B6F13" w:rsidP="000B6F13"/>
    <w:p w:rsidR="000B6F13" w:rsidRDefault="000B6F13" w:rsidP="000B6F1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pl-PL" w:bidi="pl-PL"/>
        </w:rPr>
      </w:pPr>
      <w:r>
        <w:rPr>
          <w:rFonts w:ascii="Arial" w:eastAsia="Arial" w:hAnsi="Arial" w:cs="Arial"/>
          <w:sz w:val="20"/>
          <w:lang w:eastAsia="pl-PL" w:bidi="pl-PL"/>
        </w:rPr>
        <w:t>_______________________________</w:t>
      </w:r>
    </w:p>
    <w:p w:rsidR="000B6F13" w:rsidRDefault="000B6F13" w:rsidP="000B6F13">
      <w:pPr>
        <w:widowControl w:val="0"/>
        <w:tabs>
          <w:tab w:val="left" w:pos="838"/>
        </w:tabs>
        <w:autoSpaceDE w:val="0"/>
        <w:autoSpaceDN w:val="0"/>
        <w:spacing w:after="0" w:line="252" w:lineRule="auto"/>
        <w:ind w:right="141"/>
        <w:rPr>
          <w:rFonts w:ascii="Arial" w:eastAsia="Arial" w:hAnsi="Arial" w:cs="Arial"/>
          <w:sz w:val="18"/>
          <w:szCs w:val="18"/>
          <w:lang w:eastAsia="pl-PL" w:bidi="pl-PL"/>
        </w:rPr>
      </w:pPr>
      <w:r>
        <w:rPr>
          <w:rFonts w:ascii="Arial" w:eastAsia="Arial" w:hAnsi="Arial" w:cs="Arial"/>
          <w:sz w:val="18"/>
          <w:szCs w:val="18"/>
          <w:lang w:eastAsia="pl-PL" w:bidi="pl-PL"/>
        </w:rPr>
        <w:t xml:space="preserve">Podpis pożyczkobiorcy </w:t>
      </w:r>
    </w:p>
    <w:p w:rsidR="000B6F13" w:rsidRDefault="000B6F13" w:rsidP="000B6F13"/>
    <w:p w:rsidR="0022033A" w:rsidRDefault="0022033A"/>
    <w:p w:rsidR="0022033A" w:rsidRDefault="0022033A"/>
    <w:p w:rsidR="0022033A" w:rsidRDefault="0022033A"/>
    <w:p w:rsidR="0022033A" w:rsidRDefault="0022033A"/>
    <w:p w:rsidR="0022033A" w:rsidRDefault="0022033A"/>
    <w:p w:rsidR="0022033A" w:rsidRDefault="0022033A"/>
    <w:p w:rsidR="0022033A" w:rsidRDefault="0022033A"/>
    <w:p w:rsidR="0022033A" w:rsidRDefault="0022033A"/>
    <w:p w:rsidR="0022033A" w:rsidRDefault="0022033A"/>
    <w:sectPr w:rsidR="0022033A" w:rsidSect="00AE7A47">
      <w:headerReference w:type="default" r:id="rId8"/>
      <w:headerReference w:type="first" r:id="rId9"/>
      <w:pgSz w:w="11906" w:h="16838"/>
      <w:pgMar w:top="1440" w:right="1080" w:bottom="1440" w:left="108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74B" w:rsidRDefault="000C074B" w:rsidP="0022033A">
      <w:pPr>
        <w:spacing w:after="0" w:line="240" w:lineRule="auto"/>
      </w:pPr>
      <w:r>
        <w:separator/>
      </w:r>
    </w:p>
  </w:endnote>
  <w:endnote w:type="continuationSeparator" w:id="0">
    <w:p w:rsidR="000C074B" w:rsidRDefault="000C074B" w:rsidP="0022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74B" w:rsidRDefault="000C074B" w:rsidP="0022033A">
      <w:pPr>
        <w:spacing w:after="0" w:line="240" w:lineRule="auto"/>
      </w:pPr>
      <w:r>
        <w:separator/>
      </w:r>
    </w:p>
  </w:footnote>
  <w:footnote w:type="continuationSeparator" w:id="0">
    <w:p w:rsidR="000C074B" w:rsidRDefault="000C074B" w:rsidP="0022033A">
      <w:pPr>
        <w:spacing w:after="0" w:line="240" w:lineRule="auto"/>
      </w:pPr>
      <w:r>
        <w:continuationSeparator/>
      </w:r>
    </w:p>
  </w:footnote>
  <w:footnote w:id="1">
    <w:p w:rsidR="000B6F13" w:rsidRDefault="000B6F13" w:rsidP="000B6F13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przypadku Jednostkowych Pożyczek udzielanych w formie pomocy inwestycyjnej Ostateczny Odbiorca zobowiązany jest do zapewnienia wkładu własnego, w wysokości co najmniej 30% wartości inwestycji</w:t>
      </w:r>
    </w:p>
  </w:footnote>
  <w:footnote w:id="2">
    <w:p w:rsidR="000B6F13" w:rsidRDefault="000B6F13" w:rsidP="000B6F13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Definicja „odnawialnego źródła energii” oraz rodzaje odnawialnych źródeł energii, o których mowa w niniejszym dokumencie, są zgodne z przepisami art. 2 ustawy o odnawialnych źródłach energii ( Dz. U. 2015 poz. 478).</w:t>
      </w:r>
    </w:p>
  </w:footnote>
  <w:footnote w:id="3">
    <w:p w:rsidR="000C24FF" w:rsidRPr="00AE7A47" w:rsidRDefault="000C24FF" w:rsidP="00AE7A47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AE7A4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7A47">
        <w:rPr>
          <w:rFonts w:ascii="Arial" w:hAnsi="Arial" w:cs="Arial"/>
          <w:sz w:val="18"/>
          <w:szCs w:val="18"/>
        </w:rPr>
        <w:t xml:space="preserve"> W przypadku projektów kontynuujących wcześniej wykonane inwestycje w określonych budynkach, do wskazanego limitu wliczane będą wskaźniki oszczędności energetycznej uzyskane od 1 stycznia 2014 roku z poprzednich etapów realizacji inwestycji na podstawie audytów energetycznych.</w:t>
      </w:r>
    </w:p>
  </w:footnote>
  <w:footnote w:id="4">
    <w:p w:rsidR="000B2A40" w:rsidRPr="00AE7A47" w:rsidRDefault="000B2A40" w:rsidP="00AE7A47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AE7A4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7A47">
        <w:rPr>
          <w:rFonts w:ascii="Arial" w:hAnsi="Arial" w:cs="Arial"/>
          <w:sz w:val="18"/>
          <w:szCs w:val="18"/>
        </w:rPr>
        <w:t xml:space="preserve"> Warunki rynkowe oznaczają warunki według stopy referencyjnej obliczanej przy zastosowaniu obowiązującej stopy bazowej oraz marży ustalonej w oparciu o Komunikat Komisji Europejskiej w sprawie zmiany metody ustalania stóp referencyjnych i dyskontowych (Dz. Urz. UE C 14 z 19.1.2008 r. lub komunikat zastępujący).</w:t>
      </w:r>
    </w:p>
  </w:footnote>
  <w:footnote w:id="5">
    <w:p w:rsidR="0014404B" w:rsidRPr="00AE7A47" w:rsidRDefault="0014404B" w:rsidP="00AE7A4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7A4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7A47">
        <w:rPr>
          <w:rFonts w:ascii="Arial" w:hAnsi="Arial" w:cs="Arial"/>
          <w:sz w:val="18"/>
          <w:szCs w:val="18"/>
        </w:rPr>
        <w:t xml:space="preserve"> W kontekście objęcia projektu pomocą publiczną należy rozpatrywać fakt czy Ostateczny Odbiorca spełnia definicję „przedsiębiorstwa” określoną w załączniku I do Rozporządzenia Komisji (UE) nr 651/2014.Przepisy o pomocy publicznej mają zastosowanie do przedsiębiorstw w rozumieniu unijnego prawa konkurencji tj. podmiotów prowadzących działalność gospodarczą, bez względu na status prawny i sposób finansowania. W każdym przypadku badanie statusu przedsiębiorstwa trzeba odnosić do konkretnej działalności danego podmiotu, który w pewnych sferach działalności może być uznawany za przedsiębiorstwo, natomiast w innych za podmiot nieprowadzący działalności gospodarczej. M.in.:</w:t>
      </w:r>
    </w:p>
    <w:p w:rsidR="0014404B" w:rsidRPr="00AE7A47" w:rsidRDefault="0014404B" w:rsidP="00AE7A47">
      <w:pPr>
        <w:pStyle w:val="Tekstprzypisudolnego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AE7A47">
        <w:rPr>
          <w:rFonts w:ascii="Arial" w:hAnsi="Arial" w:cs="Arial"/>
          <w:sz w:val="18"/>
          <w:szCs w:val="18"/>
        </w:rPr>
        <w:t>W przypadku realizacji inwestycji przez podmioty mające status przedsiębiorcy, w tym: spółdzielnie mieszkaniowe, TBS i inne wsparcie w zakresie efektywności energetycznej, jak i w zakresie OZE, stanowi pomoc publiczną.</w:t>
      </w:r>
    </w:p>
    <w:p w:rsidR="0014404B" w:rsidRPr="00AE7A47" w:rsidRDefault="0014404B" w:rsidP="00AE7A47">
      <w:pPr>
        <w:pStyle w:val="Tekstprzypisudolnego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AE7A47">
        <w:rPr>
          <w:rFonts w:ascii="Arial" w:hAnsi="Arial" w:cs="Arial"/>
          <w:sz w:val="18"/>
          <w:szCs w:val="18"/>
        </w:rPr>
        <w:t>W przypadku realizacji inwestycji przez wspólnoty mieszkaniowe pożyczka w zakresie efektywności energetycznej budynku może stanowić pomoc publiczną w przypadku jeżeli:</w:t>
      </w:r>
    </w:p>
    <w:p w:rsidR="0014404B" w:rsidRPr="00AE7A47" w:rsidRDefault="0014404B" w:rsidP="00AE7A47">
      <w:pPr>
        <w:pStyle w:val="Tekstprzypisudolnego"/>
        <w:numPr>
          <w:ilvl w:val="0"/>
          <w:numId w:val="7"/>
        </w:numPr>
        <w:tabs>
          <w:tab w:val="num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AE7A47">
        <w:rPr>
          <w:rFonts w:ascii="Arial" w:hAnsi="Arial" w:cs="Arial"/>
          <w:sz w:val="18"/>
          <w:szCs w:val="18"/>
        </w:rPr>
        <w:t>wspólnota mieszkaniowa w swych zasobach posiada lokale wykorzystywane przez nią komercyjnie;</w:t>
      </w:r>
    </w:p>
    <w:p w:rsidR="0014404B" w:rsidRDefault="0014404B" w:rsidP="00AE7A47">
      <w:pPr>
        <w:pStyle w:val="Tekstprzypisudolnego"/>
        <w:numPr>
          <w:ilvl w:val="0"/>
          <w:numId w:val="7"/>
        </w:numPr>
        <w:tabs>
          <w:tab w:val="num" w:pos="567"/>
        </w:tabs>
        <w:ind w:left="567" w:hanging="284"/>
        <w:jc w:val="both"/>
        <w:rPr>
          <w:sz w:val="16"/>
          <w:szCs w:val="16"/>
        </w:rPr>
      </w:pPr>
      <w:r w:rsidRPr="00AE7A47">
        <w:rPr>
          <w:rFonts w:ascii="Arial" w:hAnsi="Arial" w:cs="Arial"/>
          <w:sz w:val="18"/>
          <w:szCs w:val="18"/>
        </w:rPr>
        <w:t>jeden z właścicieli wyodrębnionego lokalu mieszkalnego prowadzi w nim działalność gospodarczą.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3A" w:rsidRDefault="0022033A" w:rsidP="0022033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43800" cy="1066990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owa3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3A" w:rsidRDefault="0022033A" w:rsidP="0022033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2850" cy="10697365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ow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56D"/>
    <w:multiLevelType w:val="hybridMultilevel"/>
    <w:tmpl w:val="C33C45CE"/>
    <w:lvl w:ilvl="0" w:tplc="298EAAD2">
      <w:start w:val="1"/>
      <w:numFmt w:val="upperRoman"/>
      <w:lvlText w:val="%1."/>
      <w:lvlJc w:val="left"/>
      <w:pPr>
        <w:ind w:left="544" w:hanging="430"/>
      </w:pPr>
      <w:rPr>
        <w:rFonts w:ascii="Arial" w:eastAsia="Trebuchet MS" w:hAnsi="Arial" w:cs="Arial" w:hint="default"/>
        <w:b/>
        <w:bCs/>
        <w:w w:val="82"/>
        <w:sz w:val="22"/>
        <w:szCs w:val="22"/>
        <w:lang w:val="pl-PL" w:eastAsia="pl-PL" w:bidi="pl-PL"/>
      </w:rPr>
    </w:lvl>
    <w:lvl w:ilvl="1" w:tplc="3BACB2DE">
      <w:start w:val="1"/>
      <w:numFmt w:val="decimal"/>
      <w:lvlText w:val="%2."/>
      <w:lvlJc w:val="left"/>
      <w:pPr>
        <w:ind w:left="544" w:hanging="430"/>
      </w:pPr>
      <w:rPr>
        <w:rFonts w:ascii="Arial" w:eastAsia="Arial" w:hAnsi="Arial" w:cs="Arial" w:hint="default"/>
        <w:spacing w:val="0"/>
        <w:w w:val="90"/>
        <w:sz w:val="22"/>
        <w:szCs w:val="22"/>
        <w:lang w:val="pl-PL" w:eastAsia="pl-PL" w:bidi="pl-PL"/>
      </w:rPr>
    </w:lvl>
    <w:lvl w:ilvl="2" w:tplc="5CD25D26">
      <w:start w:val="1"/>
      <w:numFmt w:val="decimal"/>
      <w:lvlText w:val="%3)"/>
      <w:lvlJc w:val="left"/>
      <w:pPr>
        <w:ind w:left="1242" w:hanging="360"/>
      </w:pPr>
      <w:rPr>
        <w:rFonts w:ascii="Arial" w:eastAsia="Arial" w:hAnsi="Arial" w:cs="Arial" w:hint="default"/>
        <w:spacing w:val="0"/>
        <w:w w:val="90"/>
        <w:sz w:val="22"/>
        <w:szCs w:val="22"/>
        <w:lang w:val="pl-PL" w:eastAsia="pl-PL" w:bidi="pl-PL"/>
      </w:rPr>
    </w:lvl>
    <w:lvl w:ilvl="3" w:tplc="EBCA6CDE">
      <w:numFmt w:val="bullet"/>
      <w:lvlText w:val="•"/>
      <w:lvlJc w:val="left"/>
      <w:pPr>
        <w:ind w:left="2303" w:hanging="360"/>
      </w:pPr>
      <w:rPr>
        <w:lang w:val="pl-PL" w:eastAsia="pl-PL" w:bidi="pl-PL"/>
      </w:rPr>
    </w:lvl>
    <w:lvl w:ilvl="4" w:tplc="1FB6D486">
      <w:numFmt w:val="bullet"/>
      <w:lvlText w:val="•"/>
      <w:lvlJc w:val="left"/>
      <w:pPr>
        <w:ind w:left="3367" w:hanging="360"/>
      </w:pPr>
      <w:rPr>
        <w:lang w:val="pl-PL" w:eastAsia="pl-PL" w:bidi="pl-PL"/>
      </w:rPr>
    </w:lvl>
    <w:lvl w:ilvl="5" w:tplc="92C8A59A">
      <w:numFmt w:val="bullet"/>
      <w:lvlText w:val="•"/>
      <w:lvlJc w:val="left"/>
      <w:pPr>
        <w:ind w:left="4431" w:hanging="360"/>
      </w:pPr>
      <w:rPr>
        <w:lang w:val="pl-PL" w:eastAsia="pl-PL" w:bidi="pl-PL"/>
      </w:rPr>
    </w:lvl>
    <w:lvl w:ilvl="6" w:tplc="A2B0E9FA">
      <w:numFmt w:val="bullet"/>
      <w:lvlText w:val="•"/>
      <w:lvlJc w:val="left"/>
      <w:pPr>
        <w:ind w:left="5495" w:hanging="360"/>
      </w:pPr>
      <w:rPr>
        <w:lang w:val="pl-PL" w:eastAsia="pl-PL" w:bidi="pl-PL"/>
      </w:rPr>
    </w:lvl>
    <w:lvl w:ilvl="7" w:tplc="DD386B2E">
      <w:numFmt w:val="bullet"/>
      <w:lvlText w:val="•"/>
      <w:lvlJc w:val="left"/>
      <w:pPr>
        <w:ind w:left="6559" w:hanging="360"/>
      </w:pPr>
      <w:rPr>
        <w:lang w:val="pl-PL" w:eastAsia="pl-PL" w:bidi="pl-PL"/>
      </w:rPr>
    </w:lvl>
    <w:lvl w:ilvl="8" w:tplc="38325A4C">
      <w:numFmt w:val="bullet"/>
      <w:lvlText w:val="•"/>
      <w:lvlJc w:val="left"/>
      <w:pPr>
        <w:ind w:left="7623" w:hanging="360"/>
      </w:pPr>
      <w:rPr>
        <w:lang w:val="pl-PL" w:eastAsia="pl-PL" w:bidi="pl-PL"/>
      </w:rPr>
    </w:lvl>
  </w:abstractNum>
  <w:abstractNum w:abstractNumId="1" w15:restartNumberingAfterBreak="0">
    <w:nsid w:val="18DA0D9E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365B8"/>
    <w:multiLevelType w:val="hybridMultilevel"/>
    <w:tmpl w:val="4628F0B8"/>
    <w:lvl w:ilvl="0" w:tplc="298EAAD2">
      <w:start w:val="1"/>
      <w:numFmt w:val="upperRoman"/>
      <w:lvlText w:val="%1."/>
      <w:lvlJc w:val="left"/>
      <w:pPr>
        <w:ind w:left="544" w:hanging="430"/>
      </w:pPr>
      <w:rPr>
        <w:rFonts w:ascii="Arial" w:eastAsia="Trebuchet MS" w:hAnsi="Arial" w:cs="Arial" w:hint="default"/>
        <w:b/>
        <w:bCs/>
        <w:w w:val="82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544" w:hanging="430"/>
      </w:pPr>
      <w:rPr>
        <w:rFonts w:hint="default"/>
        <w:spacing w:val="0"/>
        <w:w w:val="90"/>
        <w:sz w:val="22"/>
        <w:szCs w:val="22"/>
        <w:lang w:val="pl-PL" w:eastAsia="pl-PL" w:bidi="pl-PL"/>
      </w:rPr>
    </w:lvl>
    <w:lvl w:ilvl="2" w:tplc="5CD25D26">
      <w:start w:val="1"/>
      <w:numFmt w:val="decimal"/>
      <w:lvlText w:val="%3)"/>
      <w:lvlJc w:val="left"/>
      <w:pPr>
        <w:ind w:left="1242" w:hanging="360"/>
      </w:pPr>
      <w:rPr>
        <w:rFonts w:ascii="Arial" w:eastAsia="Arial" w:hAnsi="Arial" w:cs="Arial" w:hint="default"/>
        <w:spacing w:val="0"/>
        <w:w w:val="90"/>
        <w:sz w:val="22"/>
        <w:szCs w:val="22"/>
        <w:lang w:val="pl-PL" w:eastAsia="pl-PL" w:bidi="pl-PL"/>
      </w:rPr>
    </w:lvl>
    <w:lvl w:ilvl="3" w:tplc="EBCA6CDE">
      <w:numFmt w:val="bullet"/>
      <w:lvlText w:val="•"/>
      <w:lvlJc w:val="left"/>
      <w:pPr>
        <w:ind w:left="2303" w:hanging="360"/>
      </w:pPr>
      <w:rPr>
        <w:lang w:val="pl-PL" w:eastAsia="pl-PL" w:bidi="pl-PL"/>
      </w:rPr>
    </w:lvl>
    <w:lvl w:ilvl="4" w:tplc="1FB6D486">
      <w:numFmt w:val="bullet"/>
      <w:lvlText w:val="•"/>
      <w:lvlJc w:val="left"/>
      <w:pPr>
        <w:ind w:left="3367" w:hanging="360"/>
      </w:pPr>
      <w:rPr>
        <w:lang w:val="pl-PL" w:eastAsia="pl-PL" w:bidi="pl-PL"/>
      </w:rPr>
    </w:lvl>
    <w:lvl w:ilvl="5" w:tplc="92C8A59A">
      <w:numFmt w:val="bullet"/>
      <w:lvlText w:val="•"/>
      <w:lvlJc w:val="left"/>
      <w:pPr>
        <w:ind w:left="4431" w:hanging="360"/>
      </w:pPr>
      <w:rPr>
        <w:lang w:val="pl-PL" w:eastAsia="pl-PL" w:bidi="pl-PL"/>
      </w:rPr>
    </w:lvl>
    <w:lvl w:ilvl="6" w:tplc="A2B0E9FA">
      <w:numFmt w:val="bullet"/>
      <w:lvlText w:val="•"/>
      <w:lvlJc w:val="left"/>
      <w:pPr>
        <w:ind w:left="5495" w:hanging="360"/>
      </w:pPr>
      <w:rPr>
        <w:lang w:val="pl-PL" w:eastAsia="pl-PL" w:bidi="pl-PL"/>
      </w:rPr>
    </w:lvl>
    <w:lvl w:ilvl="7" w:tplc="DD386B2E">
      <w:numFmt w:val="bullet"/>
      <w:lvlText w:val="•"/>
      <w:lvlJc w:val="left"/>
      <w:pPr>
        <w:ind w:left="6559" w:hanging="360"/>
      </w:pPr>
      <w:rPr>
        <w:lang w:val="pl-PL" w:eastAsia="pl-PL" w:bidi="pl-PL"/>
      </w:rPr>
    </w:lvl>
    <w:lvl w:ilvl="8" w:tplc="38325A4C">
      <w:numFmt w:val="bullet"/>
      <w:lvlText w:val="•"/>
      <w:lvlJc w:val="left"/>
      <w:pPr>
        <w:ind w:left="7623" w:hanging="360"/>
      </w:pPr>
      <w:rPr>
        <w:lang w:val="pl-PL" w:eastAsia="pl-PL" w:bidi="pl-PL"/>
      </w:rPr>
    </w:lvl>
  </w:abstractNum>
  <w:abstractNum w:abstractNumId="3" w15:restartNumberingAfterBreak="0">
    <w:nsid w:val="26636D76"/>
    <w:multiLevelType w:val="hybridMultilevel"/>
    <w:tmpl w:val="3B8A8D34"/>
    <w:lvl w:ilvl="0" w:tplc="AA46AB5C">
      <w:start w:val="1"/>
      <w:numFmt w:val="decimal"/>
      <w:lvlText w:val="%1)"/>
      <w:lvlJc w:val="left"/>
      <w:pPr>
        <w:ind w:left="837" w:hanging="360"/>
      </w:pPr>
      <w:rPr>
        <w:rFonts w:ascii="Arial" w:eastAsia="Arial" w:hAnsi="Arial" w:cs="Arial" w:hint="default"/>
        <w:spacing w:val="0"/>
        <w:w w:val="90"/>
        <w:sz w:val="22"/>
        <w:szCs w:val="22"/>
        <w:lang w:val="pl-PL" w:eastAsia="pl-PL" w:bidi="pl-PL"/>
      </w:rPr>
    </w:lvl>
    <w:lvl w:ilvl="1" w:tplc="934C5742">
      <w:numFmt w:val="bullet"/>
      <w:lvlText w:val="•"/>
      <w:lvlJc w:val="left"/>
      <w:pPr>
        <w:ind w:left="1731" w:hanging="360"/>
      </w:pPr>
      <w:rPr>
        <w:lang w:val="pl-PL" w:eastAsia="pl-PL" w:bidi="pl-PL"/>
      </w:rPr>
    </w:lvl>
    <w:lvl w:ilvl="2" w:tplc="089ED794">
      <w:numFmt w:val="bullet"/>
      <w:lvlText w:val="•"/>
      <w:lvlJc w:val="left"/>
      <w:pPr>
        <w:ind w:left="2622" w:hanging="360"/>
      </w:pPr>
      <w:rPr>
        <w:lang w:val="pl-PL" w:eastAsia="pl-PL" w:bidi="pl-PL"/>
      </w:rPr>
    </w:lvl>
    <w:lvl w:ilvl="3" w:tplc="C3C4D98E">
      <w:numFmt w:val="bullet"/>
      <w:lvlText w:val="•"/>
      <w:lvlJc w:val="left"/>
      <w:pPr>
        <w:ind w:left="3513" w:hanging="360"/>
      </w:pPr>
      <w:rPr>
        <w:lang w:val="pl-PL" w:eastAsia="pl-PL" w:bidi="pl-PL"/>
      </w:rPr>
    </w:lvl>
    <w:lvl w:ilvl="4" w:tplc="9DAC5A8C">
      <w:numFmt w:val="bullet"/>
      <w:lvlText w:val="•"/>
      <w:lvlJc w:val="left"/>
      <w:pPr>
        <w:ind w:left="4404" w:hanging="360"/>
      </w:pPr>
      <w:rPr>
        <w:lang w:val="pl-PL" w:eastAsia="pl-PL" w:bidi="pl-PL"/>
      </w:rPr>
    </w:lvl>
    <w:lvl w:ilvl="5" w:tplc="1A847CA2">
      <w:numFmt w:val="bullet"/>
      <w:lvlText w:val="•"/>
      <w:lvlJc w:val="left"/>
      <w:pPr>
        <w:ind w:left="5295" w:hanging="360"/>
      </w:pPr>
      <w:rPr>
        <w:lang w:val="pl-PL" w:eastAsia="pl-PL" w:bidi="pl-PL"/>
      </w:rPr>
    </w:lvl>
    <w:lvl w:ilvl="6" w:tplc="F484F5B8">
      <w:numFmt w:val="bullet"/>
      <w:lvlText w:val="•"/>
      <w:lvlJc w:val="left"/>
      <w:pPr>
        <w:ind w:left="6186" w:hanging="360"/>
      </w:pPr>
      <w:rPr>
        <w:lang w:val="pl-PL" w:eastAsia="pl-PL" w:bidi="pl-PL"/>
      </w:rPr>
    </w:lvl>
    <w:lvl w:ilvl="7" w:tplc="44DC14FC">
      <w:numFmt w:val="bullet"/>
      <w:lvlText w:val="•"/>
      <w:lvlJc w:val="left"/>
      <w:pPr>
        <w:ind w:left="7077" w:hanging="360"/>
      </w:pPr>
      <w:rPr>
        <w:lang w:val="pl-PL" w:eastAsia="pl-PL" w:bidi="pl-PL"/>
      </w:rPr>
    </w:lvl>
    <w:lvl w:ilvl="8" w:tplc="5AFCE7E6">
      <w:numFmt w:val="bullet"/>
      <w:lvlText w:val="•"/>
      <w:lvlJc w:val="left"/>
      <w:pPr>
        <w:ind w:left="7968" w:hanging="360"/>
      </w:pPr>
      <w:rPr>
        <w:lang w:val="pl-PL" w:eastAsia="pl-PL" w:bidi="pl-PL"/>
      </w:rPr>
    </w:lvl>
  </w:abstractNum>
  <w:abstractNum w:abstractNumId="4" w15:restartNumberingAfterBreak="0">
    <w:nsid w:val="3A8C424E"/>
    <w:multiLevelType w:val="hybridMultilevel"/>
    <w:tmpl w:val="E56C1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109C"/>
    <w:multiLevelType w:val="hybridMultilevel"/>
    <w:tmpl w:val="D9B47B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253B3A"/>
    <w:multiLevelType w:val="hybridMultilevel"/>
    <w:tmpl w:val="171E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A488C"/>
    <w:multiLevelType w:val="hybridMultilevel"/>
    <w:tmpl w:val="DA06950C"/>
    <w:lvl w:ilvl="0" w:tplc="942E360C">
      <w:start w:val="1"/>
      <w:numFmt w:val="decimal"/>
      <w:lvlText w:val="%1."/>
      <w:lvlJc w:val="left"/>
      <w:pPr>
        <w:ind w:left="544" w:hanging="430"/>
      </w:pPr>
      <w:rPr>
        <w:rFonts w:ascii="Arial" w:eastAsia="Arial" w:hAnsi="Arial" w:cs="Arial" w:hint="default"/>
        <w:spacing w:val="0"/>
        <w:w w:val="90"/>
        <w:sz w:val="22"/>
        <w:szCs w:val="22"/>
        <w:lang w:val="pl-PL" w:eastAsia="pl-PL" w:bidi="pl-PL"/>
      </w:rPr>
    </w:lvl>
    <w:lvl w:ilvl="1" w:tplc="EC68D9A2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cs="Arial" w:hint="default"/>
        <w:spacing w:val="0"/>
        <w:w w:val="90"/>
        <w:sz w:val="22"/>
        <w:szCs w:val="22"/>
        <w:lang w:val="pl-PL" w:eastAsia="pl-PL" w:bidi="pl-PL"/>
      </w:rPr>
    </w:lvl>
    <w:lvl w:ilvl="2" w:tplc="A820686A">
      <w:numFmt w:val="bullet"/>
      <w:lvlText w:val="•"/>
      <w:lvlJc w:val="left"/>
      <w:pPr>
        <w:ind w:left="1830" w:hanging="360"/>
      </w:pPr>
      <w:rPr>
        <w:lang w:val="pl-PL" w:eastAsia="pl-PL" w:bidi="pl-PL"/>
      </w:rPr>
    </w:lvl>
    <w:lvl w:ilvl="3" w:tplc="40DED838">
      <w:numFmt w:val="bullet"/>
      <w:lvlText w:val="•"/>
      <w:lvlJc w:val="left"/>
      <w:pPr>
        <w:ind w:left="2820" w:hanging="360"/>
      </w:pPr>
      <w:rPr>
        <w:lang w:val="pl-PL" w:eastAsia="pl-PL" w:bidi="pl-PL"/>
      </w:rPr>
    </w:lvl>
    <w:lvl w:ilvl="4" w:tplc="8C286A6E">
      <w:numFmt w:val="bullet"/>
      <w:lvlText w:val="•"/>
      <w:lvlJc w:val="left"/>
      <w:pPr>
        <w:ind w:left="3810" w:hanging="360"/>
      </w:pPr>
      <w:rPr>
        <w:lang w:val="pl-PL" w:eastAsia="pl-PL" w:bidi="pl-PL"/>
      </w:rPr>
    </w:lvl>
    <w:lvl w:ilvl="5" w:tplc="68BEDDBC">
      <w:numFmt w:val="bullet"/>
      <w:lvlText w:val="•"/>
      <w:lvlJc w:val="left"/>
      <w:pPr>
        <w:ind w:left="4800" w:hanging="360"/>
      </w:pPr>
      <w:rPr>
        <w:lang w:val="pl-PL" w:eastAsia="pl-PL" w:bidi="pl-PL"/>
      </w:rPr>
    </w:lvl>
    <w:lvl w:ilvl="6" w:tplc="FB6AD4C8">
      <w:numFmt w:val="bullet"/>
      <w:lvlText w:val="•"/>
      <w:lvlJc w:val="left"/>
      <w:pPr>
        <w:ind w:left="5790" w:hanging="360"/>
      </w:pPr>
      <w:rPr>
        <w:lang w:val="pl-PL" w:eastAsia="pl-PL" w:bidi="pl-PL"/>
      </w:rPr>
    </w:lvl>
    <w:lvl w:ilvl="7" w:tplc="B2B8BF98">
      <w:numFmt w:val="bullet"/>
      <w:lvlText w:val="•"/>
      <w:lvlJc w:val="left"/>
      <w:pPr>
        <w:ind w:left="6780" w:hanging="360"/>
      </w:pPr>
      <w:rPr>
        <w:lang w:val="pl-PL" w:eastAsia="pl-PL" w:bidi="pl-PL"/>
      </w:rPr>
    </w:lvl>
    <w:lvl w:ilvl="8" w:tplc="C4E8B37A">
      <w:numFmt w:val="bullet"/>
      <w:lvlText w:val="•"/>
      <w:lvlJc w:val="left"/>
      <w:pPr>
        <w:ind w:left="7770" w:hanging="360"/>
      </w:pPr>
      <w:rPr>
        <w:lang w:val="pl-PL" w:eastAsia="pl-PL" w:bidi="pl-PL"/>
      </w:rPr>
    </w:lvl>
  </w:abstractNum>
  <w:abstractNum w:abstractNumId="8" w15:restartNumberingAfterBreak="0">
    <w:nsid w:val="7DC07294"/>
    <w:multiLevelType w:val="hybridMultilevel"/>
    <w:tmpl w:val="F08263A2"/>
    <w:lvl w:ilvl="0" w:tplc="DE82E47E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5A2538C">
      <w:numFmt w:val="bullet"/>
      <w:lvlText w:val="•"/>
      <w:lvlJc w:val="left"/>
      <w:pPr>
        <w:ind w:left="2379" w:hanging="360"/>
      </w:pPr>
      <w:rPr>
        <w:lang w:val="pl-PL" w:eastAsia="pl-PL" w:bidi="pl-PL"/>
      </w:rPr>
    </w:lvl>
    <w:lvl w:ilvl="2" w:tplc="88523754">
      <w:numFmt w:val="bullet"/>
      <w:lvlText w:val="•"/>
      <w:lvlJc w:val="left"/>
      <w:pPr>
        <w:ind w:left="3198" w:hanging="360"/>
      </w:pPr>
      <w:rPr>
        <w:lang w:val="pl-PL" w:eastAsia="pl-PL" w:bidi="pl-PL"/>
      </w:rPr>
    </w:lvl>
    <w:lvl w:ilvl="3" w:tplc="F1061D32">
      <w:numFmt w:val="bullet"/>
      <w:lvlText w:val="•"/>
      <w:lvlJc w:val="left"/>
      <w:pPr>
        <w:ind w:left="4017" w:hanging="360"/>
      </w:pPr>
      <w:rPr>
        <w:lang w:val="pl-PL" w:eastAsia="pl-PL" w:bidi="pl-PL"/>
      </w:rPr>
    </w:lvl>
    <w:lvl w:ilvl="4" w:tplc="6BB09994">
      <w:numFmt w:val="bullet"/>
      <w:lvlText w:val="•"/>
      <w:lvlJc w:val="left"/>
      <w:pPr>
        <w:ind w:left="4836" w:hanging="360"/>
      </w:pPr>
      <w:rPr>
        <w:lang w:val="pl-PL" w:eastAsia="pl-PL" w:bidi="pl-PL"/>
      </w:rPr>
    </w:lvl>
    <w:lvl w:ilvl="5" w:tplc="3FF402A0">
      <w:numFmt w:val="bullet"/>
      <w:lvlText w:val="•"/>
      <w:lvlJc w:val="left"/>
      <w:pPr>
        <w:ind w:left="5655" w:hanging="360"/>
      </w:pPr>
      <w:rPr>
        <w:lang w:val="pl-PL" w:eastAsia="pl-PL" w:bidi="pl-PL"/>
      </w:rPr>
    </w:lvl>
    <w:lvl w:ilvl="6" w:tplc="130ABD08">
      <w:numFmt w:val="bullet"/>
      <w:lvlText w:val="•"/>
      <w:lvlJc w:val="left"/>
      <w:pPr>
        <w:ind w:left="6474" w:hanging="360"/>
      </w:pPr>
      <w:rPr>
        <w:lang w:val="pl-PL" w:eastAsia="pl-PL" w:bidi="pl-PL"/>
      </w:rPr>
    </w:lvl>
    <w:lvl w:ilvl="7" w:tplc="4E5CAE8C">
      <w:numFmt w:val="bullet"/>
      <w:lvlText w:val="•"/>
      <w:lvlJc w:val="left"/>
      <w:pPr>
        <w:ind w:left="7293" w:hanging="360"/>
      </w:pPr>
      <w:rPr>
        <w:lang w:val="pl-PL" w:eastAsia="pl-PL" w:bidi="pl-PL"/>
      </w:rPr>
    </w:lvl>
    <w:lvl w:ilvl="8" w:tplc="A8DC7288">
      <w:numFmt w:val="bullet"/>
      <w:lvlText w:val="•"/>
      <w:lvlJc w:val="left"/>
      <w:pPr>
        <w:ind w:left="8112" w:hanging="360"/>
      </w:pPr>
      <w:rPr>
        <w:lang w:val="pl-PL" w:eastAsia="pl-PL" w:bidi="pl-PL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3A"/>
    <w:rsid w:val="00072CC7"/>
    <w:rsid w:val="000B2A40"/>
    <w:rsid w:val="000B6F13"/>
    <w:rsid w:val="000C074B"/>
    <w:rsid w:val="000C24FF"/>
    <w:rsid w:val="00131506"/>
    <w:rsid w:val="0014404B"/>
    <w:rsid w:val="0015076D"/>
    <w:rsid w:val="00190C13"/>
    <w:rsid w:val="001F0FA9"/>
    <w:rsid w:val="0022033A"/>
    <w:rsid w:val="002343CD"/>
    <w:rsid w:val="00311DE1"/>
    <w:rsid w:val="00340FB2"/>
    <w:rsid w:val="005325A2"/>
    <w:rsid w:val="005467DF"/>
    <w:rsid w:val="006D1146"/>
    <w:rsid w:val="0076444C"/>
    <w:rsid w:val="00841FB3"/>
    <w:rsid w:val="0085519B"/>
    <w:rsid w:val="0089524D"/>
    <w:rsid w:val="008D0E20"/>
    <w:rsid w:val="00905305"/>
    <w:rsid w:val="009431DC"/>
    <w:rsid w:val="00A56313"/>
    <w:rsid w:val="00A76D09"/>
    <w:rsid w:val="00A916D3"/>
    <w:rsid w:val="00AE7A47"/>
    <w:rsid w:val="00B009DE"/>
    <w:rsid w:val="00B80A95"/>
    <w:rsid w:val="00BF29EC"/>
    <w:rsid w:val="00BF40A4"/>
    <w:rsid w:val="00C11330"/>
    <w:rsid w:val="00CA6ABA"/>
    <w:rsid w:val="00DB0FC8"/>
    <w:rsid w:val="00E25F5F"/>
    <w:rsid w:val="00E2685F"/>
    <w:rsid w:val="00E6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0244CC-F9E7-4CB2-BD63-515084B1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F1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33A"/>
  </w:style>
  <w:style w:type="paragraph" w:styleId="Stopka">
    <w:name w:val="footer"/>
    <w:basedOn w:val="Normalny"/>
    <w:link w:val="StopkaZnak"/>
    <w:uiPriority w:val="99"/>
    <w:unhideWhenUsed/>
    <w:rsid w:val="0022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33A"/>
  </w:style>
  <w:style w:type="character" w:customStyle="1" w:styleId="TekstprzypisudolnegoZnak1">
    <w:name w:val="Tekst przypisu dolnego Znak1"/>
    <w:aliases w:val="Podrozdział Znak,Footnote Znak,Podrozdzia3 Znak,-E Fuﬂnotentext Znak,Fuﬂnotentext Ursprung Znak,Fußnotentext Ursprung Znak,-E Fußnotentext Znak,Fußnote Znak,Footnote text Znak,Tekst przypisu Znak Znak Znak Znak Znak"/>
    <w:link w:val="Tekstprzypisudolnego"/>
    <w:semiHidden/>
    <w:locked/>
    <w:rsid w:val="000B6F13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footnote text,PRZYPISKI,Tekst przypisu"/>
    <w:basedOn w:val="Normalny"/>
    <w:link w:val="TekstprzypisudolnegoZnak1"/>
    <w:semiHidden/>
    <w:unhideWhenUsed/>
    <w:rsid w:val="000B6F1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B6F1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nhideWhenUsed/>
    <w:rsid w:val="000B6F1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404B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404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26FA-7BFD-4061-8FDA-2B5D8ED9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dc:description/>
  <cp:lastModifiedBy>Ewa Wasiluk</cp:lastModifiedBy>
  <cp:revision>42</cp:revision>
  <dcterms:created xsi:type="dcterms:W3CDTF">2018-10-10T08:18:00Z</dcterms:created>
  <dcterms:modified xsi:type="dcterms:W3CDTF">2019-06-04T12:36:00Z</dcterms:modified>
</cp:coreProperties>
</file>